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2934491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1CDC97F" w14:textId="2A4A7F5D" w:rsidR="005A2450" w:rsidRDefault="005A2450">
          <w:pPr>
            <w:pStyle w:val="TOCHeading"/>
          </w:pPr>
          <w:r>
            <w:t>Table of Contents</w:t>
          </w:r>
        </w:p>
        <w:p w14:paraId="54B93F1D" w14:textId="15DE5D55" w:rsidR="000E1EA4" w:rsidRDefault="005A2450">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500517283" w:history="1">
            <w:r w:rsidR="000E1EA4" w:rsidRPr="003C22D3">
              <w:rPr>
                <w:rStyle w:val="Hyperlink"/>
                <w:noProof/>
              </w:rPr>
              <w:t>1.</w:t>
            </w:r>
            <w:r w:rsidR="000E1EA4">
              <w:rPr>
                <w:rFonts w:eastAsiaTheme="minorEastAsia"/>
                <w:noProof/>
              </w:rPr>
              <w:tab/>
            </w:r>
            <w:r w:rsidR="000E1EA4" w:rsidRPr="003C22D3">
              <w:rPr>
                <w:rStyle w:val="Hyperlink"/>
                <w:noProof/>
              </w:rPr>
              <w:t>Executive Summary</w:t>
            </w:r>
            <w:r w:rsidR="000E1EA4">
              <w:rPr>
                <w:noProof/>
                <w:webHidden/>
              </w:rPr>
              <w:tab/>
            </w:r>
            <w:r w:rsidR="000E1EA4">
              <w:rPr>
                <w:noProof/>
                <w:webHidden/>
              </w:rPr>
              <w:fldChar w:fldCharType="begin"/>
            </w:r>
            <w:r w:rsidR="000E1EA4">
              <w:rPr>
                <w:noProof/>
                <w:webHidden/>
              </w:rPr>
              <w:instrText xml:space="preserve"> PAGEREF _Toc500517283 \h </w:instrText>
            </w:r>
            <w:r w:rsidR="000E1EA4">
              <w:rPr>
                <w:noProof/>
                <w:webHidden/>
              </w:rPr>
            </w:r>
            <w:r w:rsidR="000E1EA4">
              <w:rPr>
                <w:noProof/>
                <w:webHidden/>
              </w:rPr>
              <w:fldChar w:fldCharType="separate"/>
            </w:r>
            <w:r w:rsidR="000E1EA4">
              <w:rPr>
                <w:noProof/>
                <w:webHidden/>
              </w:rPr>
              <w:t>2</w:t>
            </w:r>
            <w:r w:rsidR="000E1EA4">
              <w:rPr>
                <w:noProof/>
                <w:webHidden/>
              </w:rPr>
              <w:fldChar w:fldCharType="end"/>
            </w:r>
          </w:hyperlink>
        </w:p>
        <w:p w14:paraId="61B71692" w14:textId="2F3F51D6" w:rsidR="000E1EA4" w:rsidRDefault="000E1EA4">
          <w:pPr>
            <w:pStyle w:val="TOC1"/>
            <w:tabs>
              <w:tab w:val="left" w:pos="440"/>
              <w:tab w:val="right" w:leader="dot" w:pos="9350"/>
            </w:tabs>
            <w:rPr>
              <w:rFonts w:eastAsiaTheme="minorEastAsia"/>
              <w:noProof/>
            </w:rPr>
          </w:pPr>
          <w:hyperlink w:anchor="_Toc500517284" w:history="1">
            <w:r w:rsidRPr="003C22D3">
              <w:rPr>
                <w:rStyle w:val="Hyperlink"/>
                <w:noProof/>
              </w:rPr>
              <w:t>2.</w:t>
            </w:r>
            <w:r>
              <w:rPr>
                <w:rFonts w:eastAsiaTheme="minorEastAsia"/>
                <w:noProof/>
              </w:rPr>
              <w:tab/>
            </w:r>
            <w:r w:rsidRPr="003C22D3">
              <w:rPr>
                <w:rStyle w:val="Hyperlink"/>
                <w:noProof/>
              </w:rPr>
              <w:t>Introduction and Background</w:t>
            </w:r>
            <w:r>
              <w:rPr>
                <w:noProof/>
                <w:webHidden/>
              </w:rPr>
              <w:tab/>
            </w:r>
            <w:r>
              <w:rPr>
                <w:noProof/>
                <w:webHidden/>
              </w:rPr>
              <w:fldChar w:fldCharType="begin"/>
            </w:r>
            <w:r>
              <w:rPr>
                <w:noProof/>
                <w:webHidden/>
              </w:rPr>
              <w:instrText xml:space="preserve"> PAGEREF _Toc500517284 \h </w:instrText>
            </w:r>
            <w:r>
              <w:rPr>
                <w:noProof/>
                <w:webHidden/>
              </w:rPr>
            </w:r>
            <w:r>
              <w:rPr>
                <w:noProof/>
                <w:webHidden/>
              </w:rPr>
              <w:fldChar w:fldCharType="separate"/>
            </w:r>
            <w:r>
              <w:rPr>
                <w:noProof/>
                <w:webHidden/>
              </w:rPr>
              <w:t>2</w:t>
            </w:r>
            <w:r>
              <w:rPr>
                <w:noProof/>
                <w:webHidden/>
              </w:rPr>
              <w:fldChar w:fldCharType="end"/>
            </w:r>
          </w:hyperlink>
        </w:p>
        <w:p w14:paraId="47E9D37A" w14:textId="0E7ABC02" w:rsidR="000E1EA4" w:rsidRDefault="000E1EA4">
          <w:pPr>
            <w:pStyle w:val="TOC2"/>
            <w:tabs>
              <w:tab w:val="left" w:pos="880"/>
              <w:tab w:val="right" w:leader="dot" w:pos="9350"/>
            </w:tabs>
            <w:rPr>
              <w:rFonts w:eastAsiaTheme="minorEastAsia"/>
              <w:noProof/>
            </w:rPr>
          </w:pPr>
          <w:hyperlink w:anchor="_Toc500517285" w:history="1">
            <w:r w:rsidRPr="003C22D3">
              <w:rPr>
                <w:rStyle w:val="Hyperlink"/>
                <w:noProof/>
              </w:rPr>
              <w:t>2.1</w:t>
            </w:r>
            <w:r>
              <w:rPr>
                <w:rFonts w:eastAsiaTheme="minorEastAsia"/>
                <w:noProof/>
              </w:rPr>
              <w:tab/>
            </w:r>
            <w:r w:rsidRPr="003C22D3">
              <w:rPr>
                <w:rStyle w:val="Hyperlink"/>
                <w:noProof/>
              </w:rPr>
              <w:t>Overview and Procedural Background</w:t>
            </w:r>
            <w:r>
              <w:rPr>
                <w:noProof/>
                <w:webHidden/>
              </w:rPr>
              <w:tab/>
            </w:r>
            <w:r>
              <w:rPr>
                <w:noProof/>
                <w:webHidden/>
              </w:rPr>
              <w:fldChar w:fldCharType="begin"/>
            </w:r>
            <w:r>
              <w:rPr>
                <w:noProof/>
                <w:webHidden/>
              </w:rPr>
              <w:instrText xml:space="preserve"> PAGEREF _Toc500517285 \h </w:instrText>
            </w:r>
            <w:r>
              <w:rPr>
                <w:noProof/>
                <w:webHidden/>
              </w:rPr>
            </w:r>
            <w:r>
              <w:rPr>
                <w:noProof/>
                <w:webHidden/>
              </w:rPr>
              <w:fldChar w:fldCharType="separate"/>
            </w:r>
            <w:r>
              <w:rPr>
                <w:noProof/>
                <w:webHidden/>
              </w:rPr>
              <w:t>2</w:t>
            </w:r>
            <w:r>
              <w:rPr>
                <w:noProof/>
                <w:webHidden/>
              </w:rPr>
              <w:fldChar w:fldCharType="end"/>
            </w:r>
          </w:hyperlink>
        </w:p>
        <w:p w14:paraId="7062D37F" w14:textId="0DBEEACD" w:rsidR="000E1EA4" w:rsidRDefault="000E1EA4">
          <w:pPr>
            <w:pStyle w:val="TOC2"/>
            <w:tabs>
              <w:tab w:val="left" w:pos="880"/>
              <w:tab w:val="right" w:leader="dot" w:pos="9350"/>
            </w:tabs>
            <w:rPr>
              <w:rFonts w:eastAsiaTheme="minorEastAsia"/>
              <w:noProof/>
            </w:rPr>
          </w:pPr>
          <w:hyperlink w:anchor="_Toc500517286" w:history="1">
            <w:r w:rsidRPr="003C22D3">
              <w:rPr>
                <w:rStyle w:val="Hyperlink"/>
                <w:noProof/>
              </w:rPr>
              <w:t>2.2</w:t>
            </w:r>
            <w:r>
              <w:rPr>
                <w:rFonts w:eastAsiaTheme="minorEastAsia"/>
                <w:noProof/>
              </w:rPr>
              <w:tab/>
            </w:r>
            <w:r w:rsidRPr="003C22D3">
              <w:rPr>
                <w:rStyle w:val="Hyperlink"/>
                <w:noProof/>
              </w:rPr>
              <w:t>Scope and Process</w:t>
            </w:r>
            <w:r>
              <w:rPr>
                <w:noProof/>
                <w:webHidden/>
              </w:rPr>
              <w:tab/>
            </w:r>
            <w:r>
              <w:rPr>
                <w:noProof/>
                <w:webHidden/>
              </w:rPr>
              <w:fldChar w:fldCharType="begin"/>
            </w:r>
            <w:r>
              <w:rPr>
                <w:noProof/>
                <w:webHidden/>
              </w:rPr>
              <w:instrText xml:space="preserve"> PAGEREF _Toc500517286 \h </w:instrText>
            </w:r>
            <w:r>
              <w:rPr>
                <w:noProof/>
                <w:webHidden/>
              </w:rPr>
            </w:r>
            <w:r>
              <w:rPr>
                <w:noProof/>
                <w:webHidden/>
              </w:rPr>
              <w:fldChar w:fldCharType="separate"/>
            </w:r>
            <w:r>
              <w:rPr>
                <w:noProof/>
                <w:webHidden/>
              </w:rPr>
              <w:t>3</w:t>
            </w:r>
            <w:r>
              <w:rPr>
                <w:noProof/>
                <w:webHidden/>
              </w:rPr>
              <w:fldChar w:fldCharType="end"/>
            </w:r>
          </w:hyperlink>
        </w:p>
        <w:p w14:paraId="1A58A9B9" w14:textId="31938A0F" w:rsidR="000E1EA4" w:rsidRDefault="000E1EA4">
          <w:pPr>
            <w:pStyle w:val="TOC1"/>
            <w:tabs>
              <w:tab w:val="left" w:pos="440"/>
              <w:tab w:val="right" w:leader="dot" w:pos="9350"/>
            </w:tabs>
            <w:rPr>
              <w:rFonts w:eastAsiaTheme="minorEastAsia"/>
              <w:noProof/>
            </w:rPr>
          </w:pPr>
          <w:hyperlink w:anchor="_Toc500517287" w:history="1">
            <w:r w:rsidRPr="003C22D3">
              <w:rPr>
                <w:rStyle w:val="Hyperlink"/>
                <w:noProof/>
              </w:rPr>
              <w:t>3.</w:t>
            </w:r>
            <w:r>
              <w:rPr>
                <w:rFonts w:eastAsiaTheme="minorEastAsia"/>
                <w:noProof/>
              </w:rPr>
              <w:tab/>
            </w:r>
            <w:r w:rsidRPr="003C22D3">
              <w:rPr>
                <w:rStyle w:val="Hyperlink"/>
                <w:noProof/>
              </w:rPr>
              <w:t>Recommendations Summary Table</w:t>
            </w:r>
            <w:r>
              <w:rPr>
                <w:noProof/>
                <w:webHidden/>
              </w:rPr>
              <w:tab/>
            </w:r>
            <w:r>
              <w:rPr>
                <w:noProof/>
                <w:webHidden/>
              </w:rPr>
              <w:fldChar w:fldCharType="begin"/>
            </w:r>
            <w:r>
              <w:rPr>
                <w:noProof/>
                <w:webHidden/>
              </w:rPr>
              <w:instrText xml:space="preserve"> PAGEREF _Toc500517287 \h </w:instrText>
            </w:r>
            <w:r>
              <w:rPr>
                <w:noProof/>
                <w:webHidden/>
              </w:rPr>
            </w:r>
            <w:r>
              <w:rPr>
                <w:noProof/>
                <w:webHidden/>
              </w:rPr>
              <w:fldChar w:fldCharType="separate"/>
            </w:r>
            <w:r>
              <w:rPr>
                <w:noProof/>
                <w:webHidden/>
              </w:rPr>
              <w:t>4</w:t>
            </w:r>
            <w:r>
              <w:rPr>
                <w:noProof/>
                <w:webHidden/>
              </w:rPr>
              <w:fldChar w:fldCharType="end"/>
            </w:r>
          </w:hyperlink>
        </w:p>
        <w:p w14:paraId="5673D7FA" w14:textId="2C0BCA04" w:rsidR="000E1EA4" w:rsidRDefault="000E1EA4">
          <w:pPr>
            <w:pStyle w:val="TOC1"/>
            <w:tabs>
              <w:tab w:val="left" w:pos="440"/>
              <w:tab w:val="right" w:leader="dot" w:pos="9350"/>
            </w:tabs>
            <w:rPr>
              <w:rFonts w:eastAsiaTheme="minorEastAsia"/>
              <w:noProof/>
            </w:rPr>
          </w:pPr>
          <w:hyperlink w:anchor="_Toc500517288" w:history="1">
            <w:r w:rsidRPr="003C22D3">
              <w:rPr>
                <w:rStyle w:val="Hyperlink"/>
                <w:noProof/>
              </w:rPr>
              <w:t>4.</w:t>
            </w:r>
            <w:r>
              <w:rPr>
                <w:rFonts w:eastAsiaTheme="minorEastAsia"/>
                <w:noProof/>
              </w:rPr>
              <w:tab/>
            </w:r>
            <w:r w:rsidRPr="003C22D3">
              <w:rPr>
                <w:rStyle w:val="Hyperlink"/>
                <w:noProof/>
              </w:rPr>
              <w:t>Group I topics</w:t>
            </w:r>
            <w:r>
              <w:rPr>
                <w:noProof/>
                <w:webHidden/>
              </w:rPr>
              <w:tab/>
            </w:r>
            <w:r>
              <w:rPr>
                <w:noProof/>
                <w:webHidden/>
              </w:rPr>
              <w:fldChar w:fldCharType="begin"/>
            </w:r>
            <w:r>
              <w:rPr>
                <w:noProof/>
                <w:webHidden/>
              </w:rPr>
              <w:instrText xml:space="preserve"> PAGEREF _Toc500517288 \h </w:instrText>
            </w:r>
            <w:r>
              <w:rPr>
                <w:noProof/>
                <w:webHidden/>
              </w:rPr>
            </w:r>
            <w:r>
              <w:rPr>
                <w:noProof/>
                <w:webHidden/>
              </w:rPr>
              <w:fldChar w:fldCharType="separate"/>
            </w:r>
            <w:r>
              <w:rPr>
                <w:noProof/>
                <w:webHidden/>
              </w:rPr>
              <w:t>5</w:t>
            </w:r>
            <w:r>
              <w:rPr>
                <w:noProof/>
                <w:webHidden/>
              </w:rPr>
              <w:fldChar w:fldCharType="end"/>
            </w:r>
          </w:hyperlink>
        </w:p>
        <w:p w14:paraId="35316D62" w14:textId="0C340663" w:rsidR="000E1EA4" w:rsidRDefault="000E1EA4">
          <w:pPr>
            <w:pStyle w:val="TOC2"/>
            <w:tabs>
              <w:tab w:val="left" w:pos="880"/>
              <w:tab w:val="right" w:leader="dot" w:pos="9350"/>
            </w:tabs>
            <w:rPr>
              <w:rFonts w:eastAsiaTheme="minorEastAsia"/>
              <w:noProof/>
            </w:rPr>
          </w:pPr>
          <w:hyperlink w:anchor="_Toc500517289" w:history="1">
            <w:r w:rsidRPr="003C22D3">
              <w:rPr>
                <w:rStyle w:val="Hyperlink"/>
                <w:noProof/>
              </w:rPr>
              <w:t>4.1</w:t>
            </w:r>
            <w:r>
              <w:rPr>
                <w:rFonts w:eastAsiaTheme="minorEastAsia"/>
                <w:noProof/>
              </w:rPr>
              <w:tab/>
            </w:r>
            <w:r w:rsidRPr="003C22D3">
              <w:rPr>
                <w:rStyle w:val="Hyperlink"/>
                <w:noProof/>
              </w:rPr>
              <w:t>Incorporate additional locational granularity into energy, capacity, and line losses system-level avoided cost values</w:t>
            </w:r>
            <w:r>
              <w:rPr>
                <w:noProof/>
                <w:webHidden/>
              </w:rPr>
              <w:tab/>
            </w:r>
            <w:r>
              <w:rPr>
                <w:noProof/>
                <w:webHidden/>
              </w:rPr>
              <w:fldChar w:fldCharType="begin"/>
            </w:r>
            <w:r>
              <w:rPr>
                <w:noProof/>
                <w:webHidden/>
              </w:rPr>
              <w:instrText xml:space="preserve"> PAGEREF _Toc500517289 \h </w:instrText>
            </w:r>
            <w:r>
              <w:rPr>
                <w:noProof/>
                <w:webHidden/>
              </w:rPr>
            </w:r>
            <w:r>
              <w:rPr>
                <w:noProof/>
                <w:webHidden/>
              </w:rPr>
              <w:fldChar w:fldCharType="separate"/>
            </w:r>
            <w:r>
              <w:rPr>
                <w:noProof/>
                <w:webHidden/>
              </w:rPr>
              <w:t>5</w:t>
            </w:r>
            <w:r>
              <w:rPr>
                <w:noProof/>
                <w:webHidden/>
              </w:rPr>
              <w:fldChar w:fldCharType="end"/>
            </w:r>
          </w:hyperlink>
        </w:p>
        <w:p w14:paraId="443E2118" w14:textId="0594140A" w:rsidR="000E1EA4" w:rsidRDefault="000E1EA4">
          <w:pPr>
            <w:pStyle w:val="TOC3"/>
            <w:tabs>
              <w:tab w:val="left" w:pos="1320"/>
              <w:tab w:val="right" w:leader="dot" w:pos="9350"/>
            </w:tabs>
            <w:rPr>
              <w:rFonts w:eastAsiaTheme="minorEastAsia"/>
              <w:noProof/>
            </w:rPr>
          </w:pPr>
          <w:hyperlink w:anchor="_Toc500517290" w:history="1">
            <w:r w:rsidRPr="003C22D3">
              <w:rPr>
                <w:rStyle w:val="Hyperlink"/>
                <w:noProof/>
              </w:rPr>
              <w:t>4.1.1</w:t>
            </w:r>
            <w:r>
              <w:rPr>
                <w:rFonts w:eastAsiaTheme="minorEastAsia"/>
                <w:noProof/>
              </w:rPr>
              <w:tab/>
            </w:r>
            <w:r w:rsidRPr="003C22D3">
              <w:rPr>
                <w:rStyle w:val="Hyperlink"/>
                <w:noProof/>
              </w:rPr>
              <w:t>Energy</w:t>
            </w:r>
            <w:r>
              <w:rPr>
                <w:noProof/>
                <w:webHidden/>
              </w:rPr>
              <w:tab/>
            </w:r>
            <w:r>
              <w:rPr>
                <w:noProof/>
                <w:webHidden/>
              </w:rPr>
              <w:fldChar w:fldCharType="begin"/>
            </w:r>
            <w:r>
              <w:rPr>
                <w:noProof/>
                <w:webHidden/>
              </w:rPr>
              <w:instrText xml:space="preserve"> PAGEREF _Toc500517290 \h </w:instrText>
            </w:r>
            <w:r>
              <w:rPr>
                <w:noProof/>
                <w:webHidden/>
              </w:rPr>
            </w:r>
            <w:r>
              <w:rPr>
                <w:noProof/>
                <w:webHidden/>
              </w:rPr>
              <w:fldChar w:fldCharType="separate"/>
            </w:r>
            <w:r>
              <w:rPr>
                <w:noProof/>
                <w:webHidden/>
              </w:rPr>
              <w:t>5</w:t>
            </w:r>
            <w:r>
              <w:rPr>
                <w:noProof/>
                <w:webHidden/>
              </w:rPr>
              <w:fldChar w:fldCharType="end"/>
            </w:r>
          </w:hyperlink>
        </w:p>
        <w:p w14:paraId="1E885D0E" w14:textId="6B6F7F0C" w:rsidR="000E1EA4" w:rsidRDefault="000E1EA4">
          <w:pPr>
            <w:pStyle w:val="TOC3"/>
            <w:tabs>
              <w:tab w:val="left" w:pos="1320"/>
              <w:tab w:val="right" w:leader="dot" w:pos="9350"/>
            </w:tabs>
            <w:rPr>
              <w:rFonts w:eastAsiaTheme="minorEastAsia"/>
              <w:noProof/>
            </w:rPr>
          </w:pPr>
          <w:hyperlink w:anchor="_Toc500517291" w:history="1">
            <w:r w:rsidRPr="003C22D3">
              <w:rPr>
                <w:rStyle w:val="Hyperlink"/>
                <w:noProof/>
              </w:rPr>
              <w:t>4.1.2</w:t>
            </w:r>
            <w:r>
              <w:rPr>
                <w:rFonts w:eastAsiaTheme="minorEastAsia"/>
                <w:noProof/>
              </w:rPr>
              <w:tab/>
            </w:r>
            <w:r w:rsidRPr="003C22D3">
              <w:rPr>
                <w:rStyle w:val="Hyperlink"/>
                <w:noProof/>
              </w:rPr>
              <w:t>Capacity</w:t>
            </w:r>
            <w:r>
              <w:rPr>
                <w:noProof/>
                <w:webHidden/>
              </w:rPr>
              <w:tab/>
            </w:r>
            <w:r>
              <w:rPr>
                <w:noProof/>
                <w:webHidden/>
              </w:rPr>
              <w:fldChar w:fldCharType="begin"/>
            </w:r>
            <w:r>
              <w:rPr>
                <w:noProof/>
                <w:webHidden/>
              </w:rPr>
              <w:instrText xml:space="preserve"> PAGEREF _Toc500517291 \h </w:instrText>
            </w:r>
            <w:r>
              <w:rPr>
                <w:noProof/>
                <w:webHidden/>
              </w:rPr>
            </w:r>
            <w:r>
              <w:rPr>
                <w:noProof/>
                <w:webHidden/>
              </w:rPr>
              <w:fldChar w:fldCharType="separate"/>
            </w:r>
            <w:r>
              <w:rPr>
                <w:noProof/>
                <w:webHidden/>
              </w:rPr>
              <w:t>6</w:t>
            </w:r>
            <w:r>
              <w:rPr>
                <w:noProof/>
                <w:webHidden/>
              </w:rPr>
              <w:fldChar w:fldCharType="end"/>
            </w:r>
          </w:hyperlink>
        </w:p>
        <w:p w14:paraId="70669290" w14:textId="463EB48D" w:rsidR="000E1EA4" w:rsidRDefault="000E1EA4">
          <w:pPr>
            <w:pStyle w:val="TOC3"/>
            <w:tabs>
              <w:tab w:val="left" w:pos="1320"/>
              <w:tab w:val="right" w:leader="dot" w:pos="9350"/>
            </w:tabs>
            <w:rPr>
              <w:rFonts w:eastAsiaTheme="minorEastAsia"/>
              <w:noProof/>
            </w:rPr>
          </w:pPr>
          <w:hyperlink w:anchor="_Toc500517292" w:history="1">
            <w:r w:rsidRPr="003C22D3">
              <w:rPr>
                <w:rStyle w:val="Hyperlink"/>
                <w:noProof/>
              </w:rPr>
              <w:t>4.1.3</w:t>
            </w:r>
            <w:r>
              <w:rPr>
                <w:rFonts w:eastAsiaTheme="minorEastAsia"/>
                <w:noProof/>
              </w:rPr>
              <w:tab/>
            </w:r>
            <w:r w:rsidRPr="003C22D3">
              <w:rPr>
                <w:rStyle w:val="Hyperlink"/>
                <w:noProof/>
              </w:rPr>
              <w:t>Line Losses</w:t>
            </w:r>
            <w:bookmarkStart w:id="0" w:name="_GoBack"/>
            <w:bookmarkEnd w:id="0"/>
            <w:r>
              <w:rPr>
                <w:noProof/>
                <w:webHidden/>
              </w:rPr>
              <w:tab/>
            </w:r>
            <w:r>
              <w:rPr>
                <w:noProof/>
                <w:webHidden/>
              </w:rPr>
              <w:fldChar w:fldCharType="begin"/>
            </w:r>
            <w:r>
              <w:rPr>
                <w:noProof/>
                <w:webHidden/>
              </w:rPr>
              <w:instrText xml:space="preserve"> PAGEREF _Toc500517292 \h </w:instrText>
            </w:r>
            <w:r>
              <w:rPr>
                <w:noProof/>
                <w:webHidden/>
              </w:rPr>
            </w:r>
            <w:r>
              <w:rPr>
                <w:noProof/>
                <w:webHidden/>
              </w:rPr>
              <w:fldChar w:fldCharType="separate"/>
            </w:r>
            <w:r>
              <w:rPr>
                <w:noProof/>
                <w:webHidden/>
              </w:rPr>
              <w:t>7</w:t>
            </w:r>
            <w:r>
              <w:rPr>
                <w:noProof/>
                <w:webHidden/>
              </w:rPr>
              <w:fldChar w:fldCharType="end"/>
            </w:r>
          </w:hyperlink>
        </w:p>
        <w:p w14:paraId="2A118C29" w14:textId="5F10FA7B" w:rsidR="000E1EA4" w:rsidRDefault="000E1EA4">
          <w:pPr>
            <w:pStyle w:val="TOC2"/>
            <w:tabs>
              <w:tab w:val="left" w:pos="880"/>
              <w:tab w:val="right" w:leader="dot" w:pos="9350"/>
            </w:tabs>
            <w:rPr>
              <w:rFonts w:eastAsiaTheme="minorEastAsia"/>
              <w:noProof/>
            </w:rPr>
          </w:pPr>
          <w:hyperlink w:anchor="_Toc500517293" w:history="1">
            <w:r w:rsidRPr="003C22D3">
              <w:rPr>
                <w:rStyle w:val="Hyperlink"/>
                <w:noProof/>
              </w:rPr>
              <w:t>4.2</w:t>
            </w:r>
            <w:r>
              <w:rPr>
                <w:rFonts w:eastAsiaTheme="minorEastAsia"/>
                <w:noProof/>
              </w:rPr>
              <w:tab/>
            </w:r>
            <w:r w:rsidRPr="003C22D3">
              <w:rPr>
                <w:rStyle w:val="Hyperlink"/>
                <w:noProof/>
              </w:rPr>
              <w:t>Location-specific grid services for smart inverters – incorporating reactive power support (VAR profiles)</w:t>
            </w:r>
            <w:r>
              <w:rPr>
                <w:noProof/>
                <w:webHidden/>
              </w:rPr>
              <w:tab/>
            </w:r>
            <w:r>
              <w:rPr>
                <w:noProof/>
                <w:webHidden/>
              </w:rPr>
              <w:fldChar w:fldCharType="begin"/>
            </w:r>
            <w:r>
              <w:rPr>
                <w:noProof/>
                <w:webHidden/>
              </w:rPr>
              <w:instrText xml:space="preserve"> PAGEREF _Toc500517293 \h </w:instrText>
            </w:r>
            <w:r>
              <w:rPr>
                <w:noProof/>
                <w:webHidden/>
              </w:rPr>
            </w:r>
            <w:r>
              <w:rPr>
                <w:noProof/>
                <w:webHidden/>
              </w:rPr>
              <w:fldChar w:fldCharType="separate"/>
            </w:r>
            <w:r>
              <w:rPr>
                <w:noProof/>
                <w:webHidden/>
              </w:rPr>
              <w:t>9</w:t>
            </w:r>
            <w:r>
              <w:rPr>
                <w:noProof/>
                <w:webHidden/>
              </w:rPr>
              <w:fldChar w:fldCharType="end"/>
            </w:r>
          </w:hyperlink>
        </w:p>
        <w:p w14:paraId="7E3ABF75" w14:textId="466409F6" w:rsidR="000E1EA4" w:rsidRDefault="000E1EA4">
          <w:pPr>
            <w:pStyle w:val="TOC3"/>
            <w:tabs>
              <w:tab w:val="left" w:pos="1320"/>
              <w:tab w:val="right" w:leader="dot" w:pos="9350"/>
            </w:tabs>
            <w:rPr>
              <w:rFonts w:eastAsiaTheme="minorEastAsia"/>
              <w:noProof/>
            </w:rPr>
          </w:pPr>
          <w:hyperlink w:anchor="_Toc500517294" w:history="1">
            <w:r w:rsidRPr="003C22D3">
              <w:rPr>
                <w:rStyle w:val="Hyperlink"/>
                <w:noProof/>
              </w:rPr>
              <w:t>4.2.1</w:t>
            </w:r>
            <w:r>
              <w:rPr>
                <w:rFonts w:eastAsiaTheme="minorEastAsia"/>
                <w:noProof/>
              </w:rPr>
              <w:tab/>
            </w:r>
            <w:r w:rsidRPr="003C22D3">
              <w:rPr>
                <w:rStyle w:val="Hyperlink"/>
                <w:noProof/>
              </w:rPr>
              <w:t>VAR profiles (reactive power support)</w:t>
            </w:r>
            <w:r>
              <w:rPr>
                <w:noProof/>
                <w:webHidden/>
              </w:rPr>
              <w:tab/>
            </w:r>
            <w:r>
              <w:rPr>
                <w:noProof/>
                <w:webHidden/>
              </w:rPr>
              <w:fldChar w:fldCharType="begin"/>
            </w:r>
            <w:r>
              <w:rPr>
                <w:noProof/>
                <w:webHidden/>
              </w:rPr>
              <w:instrText xml:space="preserve"> PAGEREF _Toc500517294 \h </w:instrText>
            </w:r>
            <w:r>
              <w:rPr>
                <w:noProof/>
                <w:webHidden/>
              </w:rPr>
            </w:r>
            <w:r>
              <w:rPr>
                <w:noProof/>
                <w:webHidden/>
              </w:rPr>
              <w:fldChar w:fldCharType="separate"/>
            </w:r>
            <w:r>
              <w:rPr>
                <w:noProof/>
                <w:webHidden/>
              </w:rPr>
              <w:t>9</w:t>
            </w:r>
            <w:r>
              <w:rPr>
                <w:noProof/>
                <w:webHidden/>
              </w:rPr>
              <w:fldChar w:fldCharType="end"/>
            </w:r>
          </w:hyperlink>
        </w:p>
        <w:p w14:paraId="2ECFDF0B" w14:textId="5E93A562" w:rsidR="000E1EA4" w:rsidRDefault="000E1EA4">
          <w:pPr>
            <w:pStyle w:val="TOC2"/>
            <w:tabs>
              <w:tab w:val="left" w:pos="880"/>
              <w:tab w:val="right" w:leader="dot" w:pos="9350"/>
            </w:tabs>
            <w:rPr>
              <w:rFonts w:eastAsiaTheme="minorEastAsia"/>
              <w:noProof/>
            </w:rPr>
          </w:pPr>
          <w:hyperlink w:anchor="_Toc500517295" w:history="1">
            <w:r w:rsidRPr="003C22D3">
              <w:rPr>
                <w:rStyle w:val="Hyperlink"/>
                <w:noProof/>
              </w:rPr>
              <w:t>4.3</w:t>
            </w:r>
            <w:r>
              <w:rPr>
                <w:rFonts w:eastAsiaTheme="minorEastAsia"/>
                <w:noProof/>
              </w:rPr>
              <w:tab/>
            </w:r>
            <w:r w:rsidRPr="003C22D3">
              <w:rPr>
                <w:rStyle w:val="Hyperlink"/>
                <w:noProof/>
              </w:rPr>
              <w:t>Automatically populate DER generation profiles</w:t>
            </w:r>
            <w:r>
              <w:rPr>
                <w:noProof/>
                <w:webHidden/>
              </w:rPr>
              <w:tab/>
            </w:r>
            <w:r>
              <w:rPr>
                <w:noProof/>
                <w:webHidden/>
              </w:rPr>
              <w:fldChar w:fldCharType="begin"/>
            </w:r>
            <w:r>
              <w:rPr>
                <w:noProof/>
                <w:webHidden/>
              </w:rPr>
              <w:instrText xml:space="preserve"> PAGEREF _Toc500517295 \h </w:instrText>
            </w:r>
            <w:r>
              <w:rPr>
                <w:noProof/>
                <w:webHidden/>
              </w:rPr>
            </w:r>
            <w:r>
              <w:rPr>
                <w:noProof/>
                <w:webHidden/>
              </w:rPr>
              <w:fldChar w:fldCharType="separate"/>
            </w:r>
            <w:r>
              <w:rPr>
                <w:noProof/>
                <w:webHidden/>
              </w:rPr>
              <w:t>10</w:t>
            </w:r>
            <w:r>
              <w:rPr>
                <w:noProof/>
                <w:webHidden/>
              </w:rPr>
              <w:fldChar w:fldCharType="end"/>
            </w:r>
          </w:hyperlink>
        </w:p>
        <w:p w14:paraId="77AC866E" w14:textId="3EC35B3A" w:rsidR="000E1EA4" w:rsidRDefault="000E1EA4">
          <w:pPr>
            <w:pStyle w:val="TOC2"/>
            <w:tabs>
              <w:tab w:val="left" w:pos="880"/>
              <w:tab w:val="right" w:leader="dot" w:pos="9350"/>
            </w:tabs>
            <w:rPr>
              <w:rFonts w:eastAsiaTheme="minorEastAsia"/>
              <w:noProof/>
            </w:rPr>
          </w:pPr>
          <w:hyperlink w:anchor="_Toc500517296" w:history="1">
            <w:r w:rsidRPr="003C22D3">
              <w:rPr>
                <w:rStyle w:val="Hyperlink"/>
                <w:noProof/>
              </w:rPr>
              <w:t>4.4</w:t>
            </w:r>
            <w:r>
              <w:rPr>
                <w:rFonts w:eastAsiaTheme="minorEastAsia"/>
                <w:noProof/>
              </w:rPr>
              <w:tab/>
            </w:r>
            <w:r w:rsidRPr="003C22D3">
              <w:rPr>
                <w:rStyle w:val="Hyperlink"/>
                <w:noProof/>
              </w:rPr>
              <w:t>Enabling modeling of a portfolio of DER projects at numerous nodes to respond to a single grid need/method for evaluating the effect on avoided cost of DERs working “in concert” in the same electrical footprint of a substation</w:t>
            </w:r>
            <w:r>
              <w:rPr>
                <w:noProof/>
                <w:webHidden/>
              </w:rPr>
              <w:tab/>
            </w:r>
            <w:r>
              <w:rPr>
                <w:noProof/>
                <w:webHidden/>
              </w:rPr>
              <w:fldChar w:fldCharType="begin"/>
            </w:r>
            <w:r>
              <w:rPr>
                <w:noProof/>
                <w:webHidden/>
              </w:rPr>
              <w:instrText xml:space="preserve"> PAGEREF _Toc500517296 \h </w:instrText>
            </w:r>
            <w:r>
              <w:rPr>
                <w:noProof/>
                <w:webHidden/>
              </w:rPr>
            </w:r>
            <w:r>
              <w:rPr>
                <w:noProof/>
                <w:webHidden/>
              </w:rPr>
              <w:fldChar w:fldCharType="separate"/>
            </w:r>
            <w:r>
              <w:rPr>
                <w:noProof/>
                <w:webHidden/>
              </w:rPr>
              <w:t>10</w:t>
            </w:r>
            <w:r>
              <w:rPr>
                <w:noProof/>
                <w:webHidden/>
              </w:rPr>
              <w:fldChar w:fldCharType="end"/>
            </w:r>
          </w:hyperlink>
        </w:p>
        <w:p w14:paraId="30AE1735" w14:textId="651B26D5" w:rsidR="000E1EA4" w:rsidRDefault="000E1EA4">
          <w:pPr>
            <w:pStyle w:val="TOC2"/>
            <w:tabs>
              <w:tab w:val="left" w:pos="880"/>
              <w:tab w:val="right" w:leader="dot" w:pos="9350"/>
            </w:tabs>
            <w:rPr>
              <w:rFonts w:eastAsiaTheme="minorEastAsia"/>
              <w:noProof/>
            </w:rPr>
          </w:pPr>
          <w:hyperlink w:anchor="_Toc500517297" w:history="1">
            <w:r w:rsidRPr="003C22D3">
              <w:rPr>
                <w:rStyle w:val="Hyperlink"/>
                <w:noProof/>
              </w:rPr>
              <w:t>4.5</w:t>
            </w:r>
            <w:r>
              <w:rPr>
                <w:rFonts w:eastAsiaTheme="minorEastAsia"/>
                <w:noProof/>
              </w:rPr>
              <w:tab/>
            </w:r>
            <w:r w:rsidRPr="003C22D3">
              <w:rPr>
                <w:rStyle w:val="Hyperlink"/>
                <w:noProof/>
              </w:rPr>
              <w:t>Form technical subgroup in long-term refinements to develop methodologies for non-zero location-specific transmission costs</w:t>
            </w:r>
            <w:r>
              <w:rPr>
                <w:noProof/>
                <w:webHidden/>
              </w:rPr>
              <w:tab/>
            </w:r>
            <w:r>
              <w:rPr>
                <w:noProof/>
                <w:webHidden/>
              </w:rPr>
              <w:fldChar w:fldCharType="begin"/>
            </w:r>
            <w:r>
              <w:rPr>
                <w:noProof/>
                <w:webHidden/>
              </w:rPr>
              <w:instrText xml:space="preserve"> PAGEREF _Toc500517297 \h </w:instrText>
            </w:r>
            <w:r>
              <w:rPr>
                <w:noProof/>
                <w:webHidden/>
              </w:rPr>
            </w:r>
            <w:r>
              <w:rPr>
                <w:noProof/>
                <w:webHidden/>
              </w:rPr>
              <w:fldChar w:fldCharType="separate"/>
            </w:r>
            <w:r>
              <w:rPr>
                <w:noProof/>
                <w:webHidden/>
              </w:rPr>
              <w:t>11</w:t>
            </w:r>
            <w:r>
              <w:rPr>
                <w:noProof/>
                <w:webHidden/>
              </w:rPr>
              <w:fldChar w:fldCharType="end"/>
            </w:r>
          </w:hyperlink>
        </w:p>
        <w:p w14:paraId="21BD1FCD" w14:textId="5671A7F4" w:rsidR="000E1EA4" w:rsidRDefault="000E1EA4">
          <w:pPr>
            <w:pStyle w:val="TOC3"/>
            <w:tabs>
              <w:tab w:val="left" w:pos="1320"/>
              <w:tab w:val="right" w:leader="dot" w:pos="9350"/>
            </w:tabs>
            <w:rPr>
              <w:rFonts w:eastAsiaTheme="minorEastAsia"/>
              <w:noProof/>
            </w:rPr>
          </w:pPr>
          <w:hyperlink w:anchor="_Toc500517298" w:history="1">
            <w:r w:rsidRPr="003C22D3">
              <w:rPr>
                <w:rStyle w:val="Hyperlink"/>
                <w:noProof/>
              </w:rPr>
              <w:t>4.5.1</w:t>
            </w:r>
            <w:r>
              <w:rPr>
                <w:rFonts w:eastAsiaTheme="minorEastAsia"/>
                <w:noProof/>
              </w:rPr>
              <w:tab/>
            </w:r>
            <w:r w:rsidRPr="003C22D3">
              <w:rPr>
                <w:rStyle w:val="Hyperlink"/>
                <w:noProof/>
              </w:rPr>
              <w:t>Overview</w:t>
            </w:r>
            <w:r>
              <w:rPr>
                <w:noProof/>
                <w:webHidden/>
              </w:rPr>
              <w:tab/>
            </w:r>
            <w:r>
              <w:rPr>
                <w:noProof/>
                <w:webHidden/>
              </w:rPr>
              <w:fldChar w:fldCharType="begin"/>
            </w:r>
            <w:r>
              <w:rPr>
                <w:noProof/>
                <w:webHidden/>
              </w:rPr>
              <w:instrText xml:space="preserve"> PAGEREF _Toc500517298 \h </w:instrText>
            </w:r>
            <w:r>
              <w:rPr>
                <w:noProof/>
                <w:webHidden/>
              </w:rPr>
            </w:r>
            <w:r>
              <w:rPr>
                <w:noProof/>
                <w:webHidden/>
              </w:rPr>
              <w:fldChar w:fldCharType="separate"/>
            </w:r>
            <w:r>
              <w:rPr>
                <w:noProof/>
                <w:webHidden/>
              </w:rPr>
              <w:t>11</w:t>
            </w:r>
            <w:r>
              <w:rPr>
                <w:noProof/>
                <w:webHidden/>
              </w:rPr>
              <w:fldChar w:fldCharType="end"/>
            </w:r>
          </w:hyperlink>
        </w:p>
        <w:p w14:paraId="6F79C340" w14:textId="66F6AB99" w:rsidR="000E1EA4" w:rsidRDefault="000E1EA4">
          <w:pPr>
            <w:pStyle w:val="TOC3"/>
            <w:tabs>
              <w:tab w:val="left" w:pos="1320"/>
              <w:tab w:val="right" w:leader="dot" w:pos="9350"/>
            </w:tabs>
            <w:rPr>
              <w:rFonts w:eastAsiaTheme="minorEastAsia"/>
              <w:noProof/>
            </w:rPr>
          </w:pPr>
          <w:hyperlink w:anchor="_Toc500517299" w:history="1">
            <w:r w:rsidRPr="003C22D3">
              <w:rPr>
                <w:rStyle w:val="Hyperlink"/>
                <w:noProof/>
              </w:rPr>
              <w:t>4.5.2</w:t>
            </w:r>
            <w:r>
              <w:rPr>
                <w:rFonts w:eastAsiaTheme="minorEastAsia"/>
                <w:noProof/>
              </w:rPr>
              <w:tab/>
            </w:r>
            <w:r w:rsidRPr="003C22D3">
              <w:rPr>
                <w:rStyle w:val="Hyperlink"/>
                <w:noProof/>
              </w:rPr>
              <w:t>Avoided cost value of deferring planned projects</w:t>
            </w:r>
            <w:r>
              <w:rPr>
                <w:noProof/>
                <w:webHidden/>
              </w:rPr>
              <w:tab/>
            </w:r>
            <w:r>
              <w:rPr>
                <w:noProof/>
                <w:webHidden/>
              </w:rPr>
              <w:fldChar w:fldCharType="begin"/>
            </w:r>
            <w:r>
              <w:rPr>
                <w:noProof/>
                <w:webHidden/>
              </w:rPr>
              <w:instrText xml:space="preserve"> PAGEREF _Toc500517299 \h </w:instrText>
            </w:r>
            <w:r>
              <w:rPr>
                <w:noProof/>
                <w:webHidden/>
              </w:rPr>
            </w:r>
            <w:r>
              <w:rPr>
                <w:noProof/>
                <w:webHidden/>
              </w:rPr>
              <w:fldChar w:fldCharType="separate"/>
            </w:r>
            <w:r>
              <w:rPr>
                <w:noProof/>
                <w:webHidden/>
              </w:rPr>
              <w:t>12</w:t>
            </w:r>
            <w:r>
              <w:rPr>
                <w:noProof/>
                <w:webHidden/>
              </w:rPr>
              <w:fldChar w:fldCharType="end"/>
            </w:r>
          </w:hyperlink>
        </w:p>
        <w:p w14:paraId="2D446EE7" w14:textId="523184E0" w:rsidR="000E1EA4" w:rsidRDefault="000E1EA4">
          <w:pPr>
            <w:pStyle w:val="TOC3"/>
            <w:tabs>
              <w:tab w:val="left" w:pos="1320"/>
              <w:tab w:val="right" w:leader="dot" w:pos="9350"/>
            </w:tabs>
            <w:rPr>
              <w:rFonts w:eastAsiaTheme="minorEastAsia"/>
              <w:noProof/>
            </w:rPr>
          </w:pPr>
          <w:hyperlink w:anchor="_Toc500517300" w:history="1">
            <w:r w:rsidRPr="003C22D3">
              <w:rPr>
                <w:rStyle w:val="Hyperlink"/>
                <w:noProof/>
              </w:rPr>
              <w:t>4.5.3</w:t>
            </w:r>
            <w:r>
              <w:rPr>
                <w:rFonts w:eastAsiaTheme="minorEastAsia"/>
                <w:noProof/>
              </w:rPr>
              <w:tab/>
            </w:r>
            <w:r w:rsidRPr="003C22D3">
              <w:rPr>
                <w:rStyle w:val="Hyperlink"/>
                <w:noProof/>
              </w:rPr>
              <w:t>Avoided Transmission Value for DERAC Calculator</w:t>
            </w:r>
            <w:r>
              <w:rPr>
                <w:noProof/>
                <w:webHidden/>
              </w:rPr>
              <w:tab/>
            </w:r>
            <w:r>
              <w:rPr>
                <w:noProof/>
                <w:webHidden/>
              </w:rPr>
              <w:fldChar w:fldCharType="begin"/>
            </w:r>
            <w:r>
              <w:rPr>
                <w:noProof/>
                <w:webHidden/>
              </w:rPr>
              <w:instrText xml:space="preserve"> PAGEREF _Toc500517300 \h </w:instrText>
            </w:r>
            <w:r>
              <w:rPr>
                <w:noProof/>
                <w:webHidden/>
              </w:rPr>
            </w:r>
            <w:r>
              <w:rPr>
                <w:noProof/>
                <w:webHidden/>
              </w:rPr>
              <w:fldChar w:fldCharType="separate"/>
            </w:r>
            <w:r>
              <w:rPr>
                <w:noProof/>
                <w:webHidden/>
              </w:rPr>
              <w:t>14</w:t>
            </w:r>
            <w:r>
              <w:rPr>
                <w:noProof/>
                <w:webHidden/>
              </w:rPr>
              <w:fldChar w:fldCharType="end"/>
            </w:r>
          </w:hyperlink>
        </w:p>
        <w:p w14:paraId="355F691D" w14:textId="264270F5" w:rsidR="000E1EA4" w:rsidRDefault="000E1EA4">
          <w:pPr>
            <w:pStyle w:val="TOC1"/>
            <w:tabs>
              <w:tab w:val="left" w:pos="440"/>
              <w:tab w:val="right" w:leader="dot" w:pos="9350"/>
            </w:tabs>
            <w:rPr>
              <w:rFonts w:eastAsiaTheme="minorEastAsia"/>
              <w:noProof/>
            </w:rPr>
          </w:pPr>
          <w:hyperlink w:anchor="_Toc500517301" w:history="1">
            <w:r w:rsidRPr="003C22D3">
              <w:rPr>
                <w:rStyle w:val="Hyperlink"/>
                <w:noProof/>
              </w:rPr>
              <w:t>5.</w:t>
            </w:r>
            <w:r>
              <w:rPr>
                <w:rFonts w:eastAsiaTheme="minorEastAsia"/>
                <w:noProof/>
              </w:rPr>
              <w:tab/>
            </w:r>
            <w:r w:rsidRPr="003C22D3">
              <w:rPr>
                <w:rStyle w:val="Hyperlink"/>
                <w:noProof/>
              </w:rPr>
              <w:t>Group II topics</w:t>
            </w:r>
            <w:r>
              <w:rPr>
                <w:noProof/>
                <w:webHidden/>
              </w:rPr>
              <w:tab/>
            </w:r>
            <w:r>
              <w:rPr>
                <w:noProof/>
                <w:webHidden/>
              </w:rPr>
              <w:fldChar w:fldCharType="begin"/>
            </w:r>
            <w:r>
              <w:rPr>
                <w:noProof/>
                <w:webHidden/>
              </w:rPr>
              <w:instrText xml:space="preserve"> PAGEREF _Toc500517301 \h </w:instrText>
            </w:r>
            <w:r>
              <w:rPr>
                <w:noProof/>
                <w:webHidden/>
              </w:rPr>
            </w:r>
            <w:r>
              <w:rPr>
                <w:noProof/>
                <w:webHidden/>
              </w:rPr>
              <w:fldChar w:fldCharType="separate"/>
            </w:r>
            <w:r>
              <w:rPr>
                <w:noProof/>
                <w:webHidden/>
              </w:rPr>
              <w:t>16</w:t>
            </w:r>
            <w:r>
              <w:rPr>
                <w:noProof/>
                <w:webHidden/>
              </w:rPr>
              <w:fldChar w:fldCharType="end"/>
            </w:r>
          </w:hyperlink>
        </w:p>
        <w:p w14:paraId="2850452B" w14:textId="193A9C3D" w:rsidR="000E1EA4" w:rsidRDefault="000E1EA4">
          <w:pPr>
            <w:pStyle w:val="TOC2"/>
            <w:tabs>
              <w:tab w:val="left" w:pos="880"/>
              <w:tab w:val="right" w:leader="dot" w:pos="9350"/>
            </w:tabs>
            <w:rPr>
              <w:rFonts w:eastAsiaTheme="minorEastAsia"/>
              <w:noProof/>
            </w:rPr>
          </w:pPr>
          <w:hyperlink w:anchor="_Toc500517302" w:history="1">
            <w:r w:rsidRPr="003C22D3">
              <w:rPr>
                <w:rStyle w:val="Hyperlink"/>
                <w:noProof/>
              </w:rPr>
              <w:t>5.1</w:t>
            </w:r>
            <w:r>
              <w:rPr>
                <w:rFonts w:eastAsiaTheme="minorEastAsia"/>
                <w:noProof/>
              </w:rPr>
              <w:tab/>
            </w:r>
            <w:r w:rsidRPr="003C22D3">
              <w:rPr>
                <w:rStyle w:val="Hyperlink"/>
                <w:noProof/>
              </w:rPr>
              <w:t>Incorporating an uncertainty metric</w:t>
            </w:r>
            <w:r>
              <w:rPr>
                <w:noProof/>
                <w:webHidden/>
              </w:rPr>
              <w:tab/>
            </w:r>
            <w:r>
              <w:rPr>
                <w:noProof/>
                <w:webHidden/>
              </w:rPr>
              <w:fldChar w:fldCharType="begin"/>
            </w:r>
            <w:r>
              <w:rPr>
                <w:noProof/>
                <w:webHidden/>
              </w:rPr>
              <w:instrText xml:space="preserve"> PAGEREF _Toc500517302 \h </w:instrText>
            </w:r>
            <w:r>
              <w:rPr>
                <w:noProof/>
                <w:webHidden/>
              </w:rPr>
            </w:r>
            <w:r>
              <w:rPr>
                <w:noProof/>
                <w:webHidden/>
              </w:rPr>
              <w:fldChar w:fldCharType="separate"/>
            </w:r>
            <w:r>
              <w:rPr>
                <w:noProof/>
                <w:webHidden/>
              </w:rPr>
              <w:t>16</w:t>
            </w:r>
            <w:r>
              <w:rPr>
                <w:noProof/>
                <w:webHidden/>
              </w:rPr>
              <w:fldChar w:fldCharType="end"/>
            </w:r>
          </w:hyperlink>
        </w:p>
        <w:p w14:paraId="2A7A4EFA" w14:textId="604BB9BD" w:rsidR="000E1EA4" w:rsidRDefault="000E1EA4">
          <w:pPr>
            <w:pStyle w:val="TOC2"/>
            <w:tabs>
              <w:tab w:val="left" w:pos="880"/>
              <w:tab w:val="right" w:leader="dot" w:pos="9350"/>
            </w:tabs>
            <w:rPr>
              <w:rFonts w:eastAsiaTheme="minorEastAsia"/>
              <w:noProof/>
            </w:rPr>
          </w:pPr>
          <w:hyperlink w:anchor="_Toc500517303" w:history="1">
            <w:r w:rsidRPr="003C22D3">
              <w:rPr>
                <w:rStyle w:val="Hyperlink"/>
                <w:noProof/>
              </w:rPr>
              <w:t>5.2</w:t>
            </w:r>
            <w:r>
              <w:rPr>
                <w:rFonts w:eastAsiaTheme="minorEastAsia"/>
                <w:noProof/>
              </w:rPr>
              <w:tab/>
            </w:r>
            <w:r w:rsidRPr="003C22D3">
              <w:rPr>
                <w:rStyle w:val="Hyperlink"/>
                <w:noProof/>
              </w:rPr>
              <w:t>Incorporation of Growth Scenarios</w:t>
            </w:r>
            <w:r>
              <w:rPr>
                <w:noProof/>
                <w:webHidden/>
              </w:rPr>
              <w:tab/>
            </w:r>
            <w:r>
              <w:rPr>
                <w:noProof/>
                <w:webHidden/>
              </w:rPr>
              <w:fldChar w:fldCharType="begin"/>
            </w:r>
            <w:r>
              <w:rPr>
                <w:noProof/>
                <w:webHidden/>
              </w:rPr>
              <w:instrText xml:space="preserve"> PAGEREF _Toc500517303 \h </w:instrText>
            </w:r>
            <w:r>
              <w:rPr>
                <w:noProof/>
                <w:webHidden/>
              </w:rPr>
            </w:r>
            <w:r>
              <w:rPr>
                <w:noProof/>
                <w:webHidden/>
              </w:rPr>
              <w:fldChar w:fldCharType="separate"/>
            </w:r>
            <w:r>
              <w:rPr>
                <w:noProof/>
                <w:webHidden/>
              </w:rPr>
              <w:t>17</w:t>
            </w:r>
            <w:r>
              <w:rPr>
                <w:noProof/>
                <w:webHidden/>
              </w:rPr>
              <w:fldChar w:fldCharType="end"/>
            </w:r>
          </w:hyperlink>
        </w:p>
        <w:p w14:paraId="313483D2" w14:textId="79CE3911" w:rsidR="000E1EA4" w:rsidRDefault="000E1EA4">
          <w:pPr>
            <w:pStyle w:val="TOC1"/>
            <w:tabs>
              <w:tab w:val="left" w:pos="440"/>
              <w:tab w:val="right" w:leader="dot" w:pos="9350"/>
            </w:tabs>
            <w:rPr>
              <w:rFonts w:eastAsiaTheme="minorEastAsia"/>
              <w:noProof/>
            </w:rPr>
          </w:pPr>
          <w:hyperlink w:anchor="_Toc500517304" w:history="1">
            <w:r w:rsidRPr="003C22D3">
              <w:rPr>
                <w:rStyle w:val="Hyperlink"/>
                <w:noProof/>
              </w:rPr>
              <w:t>6.</w:t>
            </w:r>
            <w:r>
              <w:rPr>
                <w:rFonts w:eastAsiaTheme="minorEastAsia"/>
                <w:noProof/>
              </w:rPr>
              <w:tab/>
            </w:r>
            <w:r w:rsidRPr="003C22D3">
              <w:rPr>
                <w:rStyle w:val="Hyperlink"/>
                <w:noProof/>
              </w:rPr>
              <w:t>Group III</w:t>
            </w:r>
            <w:r>
              <w:rPr>
                <w:noProof/>
                <w:webHidden/>
              </w:rPr>
              <w:tab/>
            </w:r>
            <w:r>
              <w:rPr>
                <w:noProof/>
                <w:webHidden/>
              </w:rPr>
              <w:fldChar w:fldCharType="begin"/>
            </w:r>
            <w:r>
              <w:rPr>
                <w:noProof/>
                <w:webHidden/>
              </w:rPr>
              <w:instrText xml:space="preserve"> PAGEREF _Toc500517304 \h </w:instrText>
            </w:r>
            <w:r>
              <w:rPr>
                <w:noProof/>
                <w:webHidden/>
              </w:rPr>
            </w:r>
            <w:r>
              <w:rPr>
                <w:noProof/>
                <w:webHidden/>
              </w:rPr>
              <w:fldChar w:fldCharType="separate"/>
            </w:r>
            <w:r>
              <w:rPr>
                <w:noProof/>
                <w:webHidden/>
              </w:rPr>
              <w:t>17</w:t>
            </w:r>
            <w:r>
              <w:rPr>
                <w:noProof/>
                <w:webHidden/>
              </w:rPr>
              <w:fldChar w:fldCharType="end"/>
            </w:r>
          </w:hyperlink>
        </w:p>
        <w:p w14:paraId="46B1CF34" w14:textId="3F69BC84" w:rsidR="000E1EA4" w:rsidRDefault="000E1EA4">
          <w:pPr>
            <w:pStyle w:val="TOC2"/>
            <w:tabs>
              <w:tab w:val="left" w:pos="880"/>
              <w:tab w:val="right" w:leader="dot" w:pos="9350"/>
            </w:tabs>
            <w:rPr>
              <w:rFonts w:eastAsiaTheme="minorEastAsia"/>
              <w:noProof/>
            </w:rPr>
          </w:pPr>
          <w:hyperlink w:anchor="_Toc500517305" w:history="1">
            <w:r w:rsidRPr="003C22D3">
              <w:rPr>
                <w:rStyle w:val="Hyperlink"/>
                <w:noProof/>
              </w:rPr>
              <w:t>6.1</w:t>
            </w:r>
            <w:r>
              <w:rPr>
                <w:rFonts w:eastAsiaTheme="minorEastAsia"/>
                <w:noProof/>
              </w:rPr>
              <w:tab/>
            </w:r>
            <w:r w:rsidRPr="003C22D3">
              <w:rPr>
                <w:rStyle w:val="Hyperlink"/>
                <w:noProof/>
              </w:rPr>
              <w:t>Explore asset life extension/reduction value provided by DERs</w:t>
            </w:r>
            <w:r>
              <w:rPr>
                <w:noProof/>
                <w:webHidden/>
              </w:rPr>
              <w:tab/>
            </w:r>
            <w:r>
              <w:rPr>
                <w:noProof/>
                <w:webHidden/>
              </w:rPr>
              <w:fldChar w:fldCharType="begin"/>
            </w:r>
            <w:r>
              <w:rPr>
                <w:noProof/>
                <w:webHidden/>
              </w:rPr>
              <w:instrText xml:space="preserve"> PAGEREF _Toc500517305 \h </w:instrText>
            </w:r>
            <w:r>
              <w:rPr>
                <w:noProof/>
                <w:webHidden/>
              </w:rPr>
            </w:r>
            <w:r>
              <w:rPr>
                <w:noProof/>
                <w:webHidden/>
              </w:rPr>
              <w:fldChar w:fldCharType="separate"/>
            </w:r>
            <w:r>
              <w:rPr>
                <w:noProof/>
                <w:webHidden/>
              </w:rPr>
              <w:t>17</w:t>
            </w:r>
            <w:r>
              <w:rPr>
                <w:noProof/>
                <w:webHidden/>
              </w:rPr>
              <w:fldChar w:fldCharType="end"/>
            </w:r>
          </w:hyperlink>
        </w:p>
        <w:p w14:paraId="2E66D569" w14:textId="636FC9BB" w:rsidR="000E1EA4" w:rsidRDefault="000E1EA4">
          <w:pPr>
            <w:pStyle w:val="TOC3"/>
            <w:tabs>
              <w:tab w:val="left" w:pos="1100"/>
              <w:tab w:val="right" w:leader="dot" w:pos="9350"/>
            </w:tabs>
            <w:rPr>
              <w:rFonts w:eastAsiaTheme="minorEastAsia"/>
              <w:noProof/>
            </w:rPr>
          </w:pPr>
          <w:hyperlink w:anchor="_Toc500517306" w:history="1">
            <w:r w:rsidRPr="003C22D3">
              <w:rPr>
                <w:rStyle w:val="Hyperlink"/>
                <w:noProof/>
              </w:rPr>
              <w:t>6.2</w:t>
            </w:r>
            <w:r>
              <w:rPr>
                <w:rFonts w:eastAsiaTheme="minorEastAsia"/>
                <w:noProof/>
              </w:rPr>
              <w:tab/>
            </w:r>
            <w:r w:rsidRPr="003C22D3">
              <w:rPr>
                <w:rStyle w:val="Hyperlink"/>
                <w:noProof/>
              </w:rPr>
              <w:t>Conservation voltage reduction (CVR)</w:t>
            </w:r>
            <w:r>
              <w:rPr>
                <w:noProof/>
                <w:webHidden/>
              </w:rPr>
              <w:tab/>
            </w:r>
            <w:r>
              <w:rPr>
                <w:noProof/>
                <w:webHidden/>
              </w:rPr>
              <w:fldChar w:fldCharType="begin"/>
            </w:r>
            <w:r>
              <w:rPr>
                <w:noProof/>
                <w:webHidden/>
              </w:rPr>
              <w:instrText xml:space="preserve"> PAGEREF _Toc500517306 \h </w:instrText>
            </w:r>
            <w:r>
              <w:rPr>
                <w:noProof/>
                <w:webHidden/>
              </w:rPr>
            </w:r>
            <w:r>
              <w:rPr>
                <w:noProof/>
                <w:webHidden/>
              </w:rPr>
              <w:fldChar w:fldCharType="separate"/>
            </w:r>
            <w:r>
              <w:rPr>
                <w:noProof/>
                <w:webHidden/>
              </w:rPr>
              <w:t>18</w:t>
            </w:r>
            <w:r>
              <w:rPr>
                <w:noProof/>
                <w:webHidden/>
              </w:rPr>
              <w:fldChar w:fldCharType="end"/>
            </w:r>
          </w:hyperlink>
        </w:p>
        <w:p w14:paraId="3A15D69D" w14:textId="6A74B684" w:rsidR="000E1EA4" w:rsidRDefault="000E1EA4">
          <w:pPr>
            <w:pStyle w:val="TOC2"/>
            <w:tabs>
              <w:tab w:val="left" w:pos="880"/>
              <w:tab w:val="right" w:leader="dot" w:pos="9350"/>
            </w:tabs>
            <w:rPr>
              <w:rFonts w:eastAsiaTheme="minorEastAsia"/>
              <w:noProof/>
            </w:rPr>
          </w:pPr>
          <w:hyperlink w:anchor="_Toc500517307" w:history="1">
            <w:r w:rsidRPr="003C22D3">
              <w:rPr>
                <w:rStyle w:val="Hyperlink"/>
                <w:noProof/>
              </w:rPr>
              <w:t>6.3</w:t>
            </w:r>
            <w:r>
              <w:rPr>
                <w:rFonts w:eastAsiaTheme="minorEastAsia"/>
                <w:noProof/>
              </w:rPr>
              <w:tab/>
            </w:r>
            <w:r w:rsidRPr="003C22D3">
              <w:rPr>
                <w:rStyle w:val="Hyperlink"/>
                <w:noProof/>
              </w:rPr>
              <w:t>Situational awareness</w:t>
            </w:r>
            <w:r>
              <w:rPr>
                <w:noProof/>
                <w:webHidden/>
              </w:rPr>
              <w:tab/>
            </w:r>
            <w:r>
              <w:rPr>
                <w:noProof/>
                <w:webHidden/>
              </w:rPr>
              <w:fldChar w:fldCharType="begin"/>
            </w:r>
            <w:r>
              <w:rPr>
                <w:noProof/>
                <w:webHidden/>
              </w:rPr>
              <w:instrText xml:space="preserve"> PAGEREF _Toc500517307 \h </w:instrText>
            </w:r>
            <w:r>
              <w:rPr>
                <w:noProof/>
                <w:webHidden/>
              </w:rPr>
            </w:r>
            <w:r>
              <w:rPr>
                <w:noProof/>
                <w:webHidden/>
              </w:rPr>
              <w:fldChar w:fldCharType="separate"/>
            </w:r>
            <w:r>
              <w:rPr>
                <w:noProof/>
                <w:webHidden/>
              </w:rPr>
              <w:t>19</w:t>
            </w:r>
            <w:r>
              <w:rPr>
                <w:noProof/>
                <w:webHidden/>
              </w:rPr>
              <w:fldChar w:fldCharType="end"/>
            </w:r>
          </w:hyperlink>
        </w:p>
        <w:p w14:paraId="72D72B16" w14:textId="5E04793C" w:rsidR="000E1EA4" w:rsidRDefault="000E1EA4">
          <w:pPr>
            <w:pStyle w:val="TOC2"/>
            <w:tabs>
              <w:tab w:val="left" w:pos="880"/>
              <w:tab w:val="right" w:leader="dot" w:pos="9350"/>
            </w:tabs>
            <w:rPr>
              <w:rFonts w:eastAsiaTheme="minorEastAsia"/>
              <w:noProof/>
            </w:rPr>
          </w:pPr>
          <w:hyperlink w:anchor="_Toc500517308" w:history="1">
            <w:r w:rsidRPr="003C22D3">
              <w:rPr>
                <w:rStyle w:val="Hyperlink"/>
                <w:noProof/>
              </w:rPr>
              <w:t>6.4</w:t>
            </w:r>
            <w:r>
              <w:rPr>
                <w:rFonts w:eastAsiaTheme="minorEastAsia"/>
                <w:noProof/>
              </w:rPr>
              <w:tab/>
            </w:r>
            <w:r w:rsidRPr="003C22D3">
              <w:rPr>
                <w:rStyle w:val="Hyperlink"/>
                <w:noProof/>
              </w:rPr>
              <w:t>Non-capacity related reliability benefits</w:t>
            </w:r>
            <w:r>
              <w:rPr>
                <w:noProof/>
                <w:webHidden/>
              </w:rPr>
              <w:tab/>
            </w:r>
            <w:r>
              <w:rPr>
                <w:noProof/>
                <w:webHidden/>
              </w:rPr>
              <w:fldChar w:fldCharType="begin"/>
            </w:r>
            <w:r>
              <w:rPr>
                <w:noProof/>
                <w:webHidden/>
              </w:rPr>
              <w:instrText xml:space="preserve"> PAGEREF _Toc500517308 \h </w:instrText>
            </w:r>
            <w:r>
              <w:rPr>
                <w:noProof/>
                <w:webHidden/>
              </w:rPr>
            </w:r>
            <w:r>
              <w:rPr>
                <w:noProof/>
                <w:webHidden/>
              </w:rPr>
              <w:fldChar w:fldCharType="separate"/>
            </w:r>
            <w:r>
              <w:rPr>
                <w:noProof/>
                <w:webHidden/>
              </w:rPr>
              <w:t>20</w:t>
            </w:r>
            <w:r>
              <w:rPr>
                <w:noProof/>
                <w:webHidden/>
              </w:rPr>
              <w:fldChar w:fldCharType="end"/>
            </w:r>
          </w:hyperlink>
        </w:p>
        <w:p w14:paraId="439CD3F8" w14:textId="3FDE86D9" w:rsidR="000E1EA4" w:rsidRDefault="000E1EA4">
          <w:pPr>
            <w:pStyle w:val="TOC2"/>
            <w:tabs>
              <w:tab w:val="left" w:pos="880"/>
              <w:tab w:val="right" w:leader="dot" w:pos="9350"/>
            </w:tabs>
            <w:rPr>
              <w:rFonts w:eastAsiaTheme="minorEastAsia"/>
              <w:noProof/>
            </w:rPr>
          </w:pPr>
          <w:hyperlink w:anchor="_Toc500517309" w:history="1">
            <w:r w:rsidRPr="003C22D3">
              <w:rPr>
                <w:rStyle w:val="Hyperlink"/>
                <w:noProof/>
              </w:rPr>
              <w:t>6.5</w:t>
            </w:r>
            <w:r>
              <w:rPr>
                <w:rFonts w:eastAsiaTheme="minorEastAsia"/>
                <w:noProof/>
              </w:rPr>
              <w:tab/>
            </w:r>
            <w:r w:rsidRPr="003C22D3">
              <w:rPr>
                <w:rStyle w:val="Hyperlink"/>
                <w:noProof/>
              </w:rPr>
              <w:t>Valuing unplanned grid needs beyond 10 years</w:t>
            </w:r>
            <w:r>
              <w:rPr>
                <w:noProof/>
                <w:webHidden/>
              </w:rPr>
              <w:tab/>
            </w:r>
            <w:r>
              <w:rPr>
                <w:noProof/>
                <w:webHidden/>
              </w:rPr>
              <w:fldChar w:fldCharType="begin"/>
            </w:r>
            <w:r>
              <w:rPr>
                <w:noProof/>
                <w:webHidden/>
              </w:rPr>
              <w:instrText xml:space="preserve"> PAGEREF _Toc500517309 \h </w:instrText>
            </w:r>
            <w:r>
              <w:rPr>
                <w:noProof/>
                <w:webHidden/>
              </w:rPr>
            </w:r>
            <w:r>
              <w:rPr>
                <w:noProof/>
                <w:webHidden/>
              </w:rPr>
              <w:fldChar w:fldCharType="separate"/>
            </w:r>
            <w:r>
              <w:rPr>
                <w:noProof/>
                <w:webHidden/>
              </w:rPr>
              <w:t>21</w:t>
            </w:r>
            <w:r>
              <w:rPr>
                <w:noProof/>
                <w:webHidden/>
              </w:rPr>
              <w:fldChar w:fldCharType="end"/>
            </w:r>
          </w:hyperlink>
        </w:p>
        <w:p w14:paraId="727C9700" w14:textId="3F65E698" w:rsidR="000E1EA4" w:rsidRDefault="000E1EA4">
          <w:pPr>
            <w:pStyle w:val="TOC2"/>
            <w:tabs>
              <w:tab w:val="left" w:pos="660"/>
              <w:tab w:val="right" w:leader="dot" w:pos="9350"/>
            </w:tabs>
            <w:rPr>
              <w:rFonts w:eastAsiaTheme="minorEastAsia"/>
              <w:noProof/>
            </w:rPr>
          </w:pPr>
          <w:hyperlink w:anchor="_Toc500517310" w:history="1">
            <w:r w:rsidRPr="003C22D3">
              <w:rPr>
                <w:rStyle w:val="Hyperlink"/>
                <w:noProof/>
              </w:rPr>
              <w:t>7.</w:t>
            </w:r>
            <w:r>
              <w:rPr>
                <w:rFonts w:eastAsiaTheme="minorEastAsia"/>
                <w:noProof/>
              </w:rPr>
              <w:tab/>
            </w:r>
            <w:r w:rsidRPr="003C22D3">
              <w:rPr>
                <w:rStyle w:val="Hyperlink"/>
                <w:noProof/>
              </w:rPr>
              <w:t>Topics not covered</w:t>
            </w:r>
            <w:r>
              <w:rPr>
                <w:noProof/>
                <w:webHidden/>
              </w:rPr>
              <w:tab/>
            </w:r>
            <w:r>
              <w:rPr>
                <w:noProof/>
                <w:webHidden/>
              </w:rPr>
              <w:fldChar w:fldCharType="begin"/>
            </w:r>
            <w:r>
              <w:rPr>
                <w:noProof/>
                <w:webHidden/>
              </w:rPr>
              <w:instrText xml:space="preserve"> PAGEREF _Toc500517310 \h </w:instrText>
            </w:r>
            <w:r>
              <w:rPr>
                <w:noProof/>
                <w:webHidden/>
              </w:rPr>
            </w:r>
            <w:r>
              <w:rPr>
                <w:noProof/>
                <w:webHidden/>
              </w:rPr>
              <w:fldChar w:fldCharType="separate"/>
            </w:r>
            <w:r>
              <w:rPr>
                <w:noProof/>
                <w:webHidden/>
              </w:rPr>
              <w:t>22</w:t>
            </w:r>
            <w:r>
              <w:rPr>
                <w:noProof/>
                <w:webHidden/>
              </w:rPr>
              <w:fldChar w:fldCharType="end"/>
            </w:r>
          </w:hyperlink>
        </w:p>
        <w:p w14:paraId="30B9C6E6" w14:textId="1B3779AA" w:rsidR="000E1EA4" w:rsidRDefault="000E1EA4">
          <w:pPr>
            <w:pStyle w:val="TOC1"/>
            <w:tabs>
              <w:tab w:val="right" w:leader="dot" w:pos="9350"/>
            </w:tabs>
            <w:rPr>
              <w:rFonts w:eastAsiaTheme="minorEastAsia"/>
              <w:noProof/>
            </w:rPr>
          </w:pPr>
          <w:hyperlink w:anchor="_Toc500517311" w:history="1">
            <w:r w:rsidRPr="003C22D3">
              <w:rPr>
                <w:rStyle w:val="Hyperlink"/>
                <w:noProof/>
              </w:rPr>
              <w:t>Appendix A</w:t>
            </w:r>
            <w:r>
              <w:rPr>
                <w:noProof/>
                <w:webHidden/>
              </w:rPr>
              <w:tab/>
            </w:r>
            <w:r>
              <w:rPr>
                <w:noProof/>
                <w:webHidden/>
              </w:rPr>
              <w:fldChar w:fldCharType="begin"/>
            </w:r>
            <w:r>
              <w:rPr>
                <w:noProof/>
                <w:webHidden/>
              </w:rPr>
              <w:instrText xml:space="preserve"> PAGEREF _Toc500517311 \h </w:instrText>
            </w:r>
            <w:r>
              <w:rPr>
                <w:noProof/>
                <w:webHidden/>
              </w:rPr>
            </w:r>
            <w:r>
              <w:rPr>
                <w:noProof/>
                <w:webHidden/>
              </w:rPr>
              <w:fldChar w:fldCharType="separate"/>
            </w:r>
            <w:r>
              <w:rPr>
                <w:noProof/>
                <w:webHidden/>
              </w:rPr>
              <w:t>23</w:t>
            </w:r>
            <w:r>
              <w:rPr>
                <w:noProof/>
                <w:webHidden/>
              </w:rPr>
              <w:fldChar w:fldCharType="end"/>
            </w:r>
          </w:hyperlink>
        </w:p>
        <w:p w14:paraId="62102E9C" w14:textId="633E75E2" w:rsidR="000E1EA4" w:rsidRDefault="000E1EA4">
          <w:pPr>
            <w:pStyle w:val="TOC1"/>
            <w:tabs>
              <w:tab w:val="right" w:leader="dot" w:pos="9350"/>
            </w:tabs>
            <w:rPr>
              <w:rFonts w:eastAsiaTheme="minorEastAsia"/>
              <w:noProof/>
            </w:rPr>
          </w:pPr>
          <w:hyperlink w:anchor="_Toc500517312" w:history="1">
            <w:r w:rsidRPr="003C22D3">
              <w:rPr>
                <w:rStyle w:val="Hyperlink"/>
                <w:noProof/>
              </w:rPr>
              <w:t>Appendix B</w:t>
            </w:r>
            <w:r>
              <w:rPr>
                <w:noProof/>
                <w:webHidden/>
              </w:rPr>
              <w:tab/>
            </w:r>
            <w:r>
              <w:rPr>
                <w:noProof/>
                <w:webHidden/>
              </w:rPr>
              <w:fldChar w:fldCharType="begin"/>
            </w:r>
            <w:r>
              <w:rPr>
                <w:noProof/>
                <w:webHidden/>
              </w:rPr>
              <w:instrText xml:space="preserve"> PAGEREF _Toc500517312 \h </w:instrText>
            </w:r>
            <w:r>
              <w:rPr>
                <w:noProof/>
                <w:webHidden/>
              </w:rPr>
            </w:r>
            <w:r>
              <w:rPr>
                <w:noProof/>
                <w:webHidden/>
              </w:rPr>
              <w:fldChar w:fldCharType="separate"/>
            </w:r>
            <w:r>
              <w:rPr>
                <w:noProof/>
                <w:webHidden/>
              </w:rPr>
              <w:t>24</w:t>
            </w:r>
            <w:r>
              <w:rPr>
                <w:noProof/>
                <w:webHidden/>
              </w:rPr>
              <w:fldChar w:fldCharType="end"/>
            </w:r>
          </w:hyperlink>
        </w:p>
        <w:p w14:paraId="7EB809D0" w14:textId="656AFEAE" w:rsidR="005A2450" w:rsidRDefault="005A2450">
          <w:r>
            <w:rPr>
              <w:b/>
              <w:bCs/>
              <w:noProof/>
            </w:rPr>
            <w:fldChar w:fldCharType="end"/>
          </w:r>
        </w:p>
      </w:sdtContent>
    </w:sdt>
    <w:p w14:paraId="23B866B1" w14:textId="77777777" w:rsidR="005A2450" w:rsidRDefault="005A2450" w:rsidP="000B2B2D">
      <w:pPr>
        <w:keepNext/>
        <w:keepLines/>
        <w:spacing w:before="240" w:after="0"/>
        <w:outlineLvl w:val="0"/>
        <w:rPr>
          <w:rFonts w:asciiTheme="majorHAnsi" w:eastAsiaTheme="majorEastAsia" w:hAnsiTheme="majorHAnsi" w:cstheme="majorBidi"/>
          <w:color w:val="2F5496" w:themeColor="accent1" w:themeShade="BF"/>
          <w:sz w:val="32"/>
          <w:szCs w:val="32"/>
        </w:rPr>
      </w:pPr>
    </w:p>
    <w:p w14:paraId="0E3A700B" w14:textId="78EE4002" w:rsidR="000B2B2D" w:rsidRDefault="000B2B2D" w:rsidP="000B2B2D">
      <w:pPr>
        <w:pStyle w:val="Heading1"/>
        <w:numPr>
          <w:ilvl w:val="0"/>
          <w:numId w:val="2"/>
        </w:numPr>
      </w:pPr>
      <w:bookmarkStart w:id="1" w:name="_Toc500517283"/>
      <w:r>
        <w:t>Executive Summary</w:t>
      </w:r>
      <w:bookmarkEnd w:id="1"/>
      <w:r>
        <w:t xml:space="preserve"> </w:t>
      </w:r>
    </w:p>
    <w:p w14:paraId="72E8FF47" w14:textId="77777777" w:rsidR="000B2B2D" w:rsidRDefault="000B2B2D" w:rsidP="000B2B2D">
      <w:r w:rsidRPr="006C27F3">
        <w:t xml:space="preserve">Assembly Bill 327 (Perea 2013) established Section 769 of the California Public Utilities Code, which requires the Investor Owned Utilities (IOUs) to prepare Distribution Resource Plans (DRPs) that identify optimal locations for the deployment of distributed energy resources. In August 2014, the Commission began implementation of this requirement through Rulemaking (R.) 14-08-013, the DRP proceeding. </w:t>
      </w:r>
      <w:r w:rsidR="00104C23">
        <w:t>A Ruling from the Assigned Commissioner in February 2015 introduced the concept of a unified locational net benefits methodology consistent across all three IOUs that is based on the Commission approved E3 Cost-effectiveness Calculator, but enhanced to explicitly include location-specific values and to include certain additional avoided cost components.</w:t>
      </w:r>
      <w:r w:rsidRPr="006C27F3">
        <w:t xml:space="preserve"> </w:t>
      </w:r>
      <w:r>
        <w:t xml:space="preserve">The IOUs submitted the </w:t>
      </w:r>
      <w:r w:rsidR="00104C23">
        <w:t>results of their Demonstration B</w:t>
      </w:r>
      <w:r>
        <w:t xml:space="preserve"> (Demo A) projects in December 2016. The ICA Working Group reviewed the D</w:t>
      </w:r>
      <w:r w:rsidR="00104C23">
        <w:t>emo B results and submitted the LNBA</w:t>
      </w:r>
      <w:r>
        <w:t xml:space="preserve"> Work</w:t>
      </w:r>
      <w:r w:rsidR="00104C23">
        <w:t>ing Group Final Report on May 8</w:t>
      </w:r>
      <w:r>
        <w:t xml:space="preserve">, 2017. A June 7 ACR </w:t>
      </w:r>
      <w:r w:rsidRPr="0092483C">
        <w:t>provided scope and schedule to the continued long-term refinement activities for ICA and LNBA. </w:t>
      </w:r>
      <w:r w:rsidR="00104C23">
        <w:t xml:space="preserve">A September 26 Final Decision on Track 1 DRP provided further direction on affirming a third use case of </w:t>
      </w:r>
      <w:r w:rsidR="000C175F">
        <w:t xml:space="preserve">LNBA to serve a cost-effectiveness use and update the DERAC tool, </w:t>
      </w:r>
      <w:r w:rsidR="00104C23">
        <w:t xml:space="preserve">and set a separate process within the Energy Division to consider methodology options to meet the third use case. </w:t>
      </w:r>
    </w:p>
    <w:p w14:paraId="5E571734" w14:textId="1151BEC8" w:rsidR="000B2B2D" w:rsidRDefault="000B2B2D" w:rsidP="000B2B2D">
      <w:r w:rsidRPr="006C27F3">
        <w:t xml:space="preserve"> This document serves as the Final </w:t>
      </w:r>
      <w:r w:rsidR="00104C23">
        <w:t xml:space="preserve">LNBA </w:t>
      </w:r>
      <w:r>
        <w:t xml:space="preserve">Working Group on Long Term Refinements (LTR) Report to the California Public Utilities Commission (CPUC). </w:t>
      </w:r>
      <w:r w:rsidRPr="006C27F3">
        <w:t xml:space="preserve">The Working Group is comprised of the California IOUs and interested stakeholders. A complete list of participating Parties may be found in the Appendix. This </w:t>
      </w:r>
      <w:r>
        <w:t>report summarizes recommendations on long-term refinement issues identified by the June 7 ACR to continue refining</w:t>
      </w:r>
      <w:r w:rsidR="00104C23">
        <w:t xml:space="preserve"> and improving ICA methodology. Some of the long-term refinement issues pertain to the discussion of the third use case and applicable methodology. Given the timing of the Sept. 26 Final Decision, this report will identify where some long-term refinement recommendations are deferred to this separate methodology process. </w:t>
      </w:r>
    </w:p>
    <w:p w14:paraId="4E220307" w14:textId="77777777" w:rsidR="000B2B2D" w:rsidRDefault="000B2B2D" w:rsidP="000B2B2D">
      <w:pPr>
        <w:pStyle w:val="Heading1"/>
        <w:numPr>
          <w:ilvl w:val="0"/>
          <w:numId w:val="2"/>
        </w:numPr>
      </w:pPr>
      <w:bookmarkStart w:id="2" w:name="_Toc500517284"/>
      <w:r>
        <w:t>Introduction and Background</w:t>
      </w:r>
      <w:bookmarkEnd w:id="2"/>
      <w:r>
        <w:t xml:space="preserve"> </w:t>
      </w:r>
    </w:p>
    <w:p w14:paraId="347EA6E2" w14:textId="77777777" w:rsidR="0027047C" w:rsidRDefault="0027047C" w:rsidP="000B2B2D">
      <w:pPr>
        <w:rPr>
          <w:b/>
        </w:rPr>
      </w:pPr>
    </w:p>
    <w:p w14:paraId="09DAF4EB" w14:textId="7F934CB5" w:rsidR="000B2B2D" w:rsidRDefault="000B2B2D" w:rsidP="005A2450">
      <w:pPr>
        <w:pStyle w:val="Heading2"/>
        <w:numPr>
          <w:ilvl w:val="1"/>
          <w:numId w:val="2"/>
        </w:numPr>
      </w:pPr>
      <w:bookmarkStart w:id="3" w:name="_Toc500517285"/>
      <w:r>
        <w:t>Overview and Procedural Background</w:t>
      </w:r>
      <w:bookmarkEnd w:id="3"/>
    </w:p>
    <w:p w14:paraId="3973B3A4" w14:textId="77777777" w:rsidR="0027047C" w:rsidRPr="0027047C" w:rsidRDefault="0027047C" w:rsidP="0027047C"/>
    <w:p w14:paraId="2FF298E3" w14:textId="77777777" w:rsidR="000B2B2D" w:rsidRPr="00DB582D" w:rsidRDefault="000B2B2D" w:rsidP="000B2B2D">
      <w:r w:rsidRPr="00DB582D">
        <w:t xml:space="preserve">Assembly Bill 327 (Perea, 2013) established Section 769 of the California Public Utilities Code, which requires the California Investor Owned Utilities (IOUs) to prepare Distribution Resource Plans (DRPs) that identify optimal locations for the deployment of distributed energy resources (DERs).  In August 2014, the California Public Utilities Commission (CPUC, or Commission) began implementation of this requirement through Rulemaking (R.) 14-08-013, the Distribution Resources Plan (DRP) proceeding. </w:t>
      </w:r>
      <w:r w:rsidR="000C175F">
        <w:t xml:space="preserve">A </w:t>
      </w:r>
      <w:r w:rsidR="000C175F">
        <w:lastRenderedPageBreak/>
        <w:t>Ruling from the Assigned Commissioner in February 2015 introduced the concept of a unified locational net benefits methodology consistent across all three IOUs that is based on the Commission approved E3 Cost-effectiveness Calculator, but enhanced to explicitly include location-specific values and to include certain additional avoided cost components. A Ruling from the Assigned Commissioner issued on May 2, 2016 (May 2 ACR) adopted Locational Net Benefits Analysis (LNBA) methodology for use in DRP’s Demonstration Project “B” (Demo B), and authorized the Utilities to pursue Demonstration Project B to perform LNBA methodology for one Distribution Planning Area (DPA) in each Utility’s service area</w:t>
      </w:r>
      <w:r>
        <w:t xml:space="preserve">  </w:t>
      </w:r>
    </w:p>
    <w:p w14:paraId="08E01B2E" w14:textId="77777777" w:rsidR="000B2B2D" w:rsidRDefault="000B2B2D" w:rsidP="000B2B2D">
      <w:r w:rsidRPr="00DB582D">
        <w:t xml:space="preserve">Pursuant to Commission direction, the IOUs filed their DRPs as Applications, including a proposal to complete a Demonstration of their </w:t>
      </w:r>
      <w:r w:rsidR="00A56758">
        <w:t>LNBA methodology (“Demo B”).</w:t>
      </w:r>
      <w:r w:rsidRPr="00DB582D">
        <w:t xml:space="preserve"> Stakeholders provided input on the IOU proposals, leading to an Assigned Commissioner’s Ruling (ACR) issued in May 2016. That guidance authorized </w:t>
      </w:r>
      <w:r w:rsidR="00A56758">
        <w:t>IOUs’ to complete Demo B</w:t>
      </w:r>
      <w:r>
        <w:t>.</w:t>
      </w:r>
      <w:r w:rsidRPr="00DB582D">
        <w:t xml:space="preserve"> T</w:t>
      </w:r>
      <w:r w:rsidR="00A56758">
        <w:t xml:space="preserve">he ACR also established the LNBA </w:t>
      </w:r>
      <w:r w:rsidRPr="00DB582D">
        <w:t>Working Group (WG) to monitor and provide consultation to the IOUs on the execution of Demonstration Project A and</w:t>
      </w:r>
      <w:r w:rsidR="0064533E">
        <w:t xml:space="preserve"> further refinements to the LNBA </w:t>
      </w:r>
      <w:r w:rsidRPr="00DB582D">
        <w:t>methodology. CPUC Energy Division staff has oversight responsibility of the WG, but it is currently managed by the utilities and interested stakeholders on an interim basis. The utilities jointly engaged More Than Smart (MTS), a 501(c)3 non-profit organization, to facilitate the WG. The Energy Division may at its discretion assume direct management of the working group or appoint a WG manager.</w:t>
      </w:r>
    </w:p>
    <w:p w14:paraId="187F579B" w14:textId="77777777" w:rsidR="000B2B2D" w:rsidRDefault="000B2B2D" w:rsidP="000B2B2D">
      <w:r>
        <w:t>In December 2016, Pacific Gas &amp; Electric (PG&amp;E), Southern California Edison (SCE), and San Diego Gas and Electric (SDG&amp;</w:t>
      </w:r>
      <w:r w:rsidR="0064533E">
        <w:t xml:space="preserve">E) submitted their final Demo B </w:t>
      </w:r>
      <w:r>
        <w:t>reports</w:t>
      </w:r>
      <w:r w:rsidR="0064533E">
        <w:t xml:space="preserve">. </w:t>
      </w:r>
      <w:r>
        <w:t>These reports summarize Demo results, lessons learned, and the IOUs’ recommendations on the methodology selection and feasibil</w:t>
      </w:r>
      <w:r w:rsidR="0064533E">
        <w:t>ity of implementation of the LNBA</w:t>
      </w:r>
      <w:r>
        <w:t xml:space="preserve"> across the entire distribution</w:t>
      </w:r>
      <w:r w:rsidR="0064533E">
        <w:t xml:space="preserve"> system. The LNBA WG reviewed Demo B results and submitted its LNBA</w:t>
      </w:r>
      <w:r>
        <w:t xml:space="preserve"> Working Group Final Report in March 2017. </w:t>
      </w:r>
    </w:p>
    <w:p w14:paraId="68508902" w14:textId="11395876" w:rsidR="000C175F" w:rsidRDefault="000B2B2D" w:rsidP="000B2B2D">
      <w:r>
        <w:t xml:space="preserve">A June 7 ACR </w:t>
      </w:r>
      <w:r w:rsidRPr="0092483C">
        <w:t>provided scope and schedule to the continued long-term refinement activities for ICA and LNBA. </w:t>
      </w:r>
      <w:r>
        <w:t xml:space="preserve">The ICA Working Group has convened since July to discuss the identified long-term refinement topics from the ACR. The WG has </w:t>
      </w:r>
      <w:r w:rsidRPr="007B0B3B">
        <w:t xml:space="preserve">met </w:t>
      </w:r>
      <w:r w:rsidR="007B0B3B" w:rsidRPr="007B0B3B">
        <w:t>six</w:t>
      </w:r>
      <w:r>
        <w:t xml:space="preserve"> times </w:t>
      </w:r>
      <w:r w:rsidR="007B0B3B">
        <w:t>to discuss 13 topics</w:t>
      </w:r>
      <w:r w:rsidR="0064533E">
        <w:t xml:space="preserve">. A September 26 Final Decision on Track 1 DRP provided further direction on affirming a third use case of </w:t>
      </w:r>
      <w:r w:rsidR="000C175F">
        <w:t>LNBA to efficiently incorporate DER integration costs and develop location-specific T&amp;D avoided cost values for input into DERAC,</w:t>
      </w:r>
      <w:r w:rsidR="0064533E">
        <w:t xml:space="preserve"> and set a separate process within the Energy Division to consider methodology options to meet the third use case. </w:t>
      </w:r>
    </w:p>
    <w:p w14:paraId="0D5D523F" w14:textId="5028EFDC" w:rsidR="005A2450" w:rsidRDefault="000B2B2D" w:rsidP="005A2450">
      <w:pPr>
        <w:pStyle w:val="Heading2"/>
        <w:numPr>
          <w:ilvl w:val="1"/>
          <w:numId w:val="2"/>
        </w:numPr>
      </w:pPr>
      <w:bookmarkStart w:id="4" w:name="_Toc500517286"/>
      <w:r w:rsidRPr="00DB582D">
        <w:t>Scope and Process</w:t>
      </w:r>
      <w:bookmarkEnd w:id="4"/>
    </w:p>
    <w:p w14:paraId="17B457A3" w14:textId="4D86B4DF" w:rsidR="0027047C" w:rsidRPr="0027047C" w:rsidRDefault="000B2B2D" w:rsidP="005A2450">
      <w:pPr>
        <w:pStyle w:val="Heading2"/>
        <w:ind w:left="750"/>
      </w:pPr>
      <w:r w:rsidRPr="00DB582D">
        <w:t xml:space="preserve"> </w:t>
      </w:r>
    </w:p>
    <w:p w14:paraId="77D6955C" w14:textId="77777777" w:rsidR="000B2B2D" w:rsidRDefault="000B2B2D" w:rsidP="000B2B2D">
      <w:r>
        <w:t xml:space="preserve">The </w:t>
      </w:r>
      <w:r w:rsidRPr="00DB582D">
        <w:t>“Working Group” references all act</w:t>
      </w:r>
      <w:r w:rsidR="0064533E">
        <w:t>ive parties participating in LNBA</w:t>
      </w:r>
      <w:r w:rsidRPr="00DB582D">
        <w:t xml:space="preserve"> WG meetings, which include the IOUs, government representatives, DER developers, nonprofits, and independent advocates and consultants. All meeting dates and topics covered, as well as all stakeholder groups attending at least on</w:t>
      </w:r>
      <w:r w:rsidR="0064533E">
        <w:t xml:space="preserve">e meeting or webinar of the LNBA </w:t>
      </w:r>
      <w:r w:rsidRPr="00DB582D">
        <w:t>WG, are described in Appendix A. This report is the product of significant written edits and contributions from the following organizations:</w:t>
      </w:r>
    </w:p>
    <w:p w14:paraId="1D86B19B" w14:textId="30E88CEA" w:rsidR="007B0B3B" w:rsidRPr="007B0B3B" w:rsidRDefault="00E9160B">
      <w:pPr>
        <w:rPr>
          <w:b/>
        </w:rPr>
      </w:pPr>
      <w:commentRangeStart w:id="5"/>
      <w:r w:rsidRPr="0025421D">
        <w:rPr>
          <w:b/>
          <w:highlight w:val="yellow"/>
        </w:rPr>
        <w:t>XX</w:t>
      </w:r>
      <w:commentRangeEnd w:id="5"/>
      <w:r w:rsidR="007B0B3B">
        <w:rPr>
          <w:rStyle w:val="CommentReference"/>
        </w:rPr>
        <w:commentReference w:id="5"/>
      </w:r>
    </w:p>
    <w:p w14:paraId="7FADCAD2" w14:textId="75137E12" w:rsidR="007B0B3B" w:rsidRDefault="0027047C">
      <w:r>
        <w:t xml:space="preserve">For each topic discussed, WG participants were asked to present their proposal to the full WG and develop a written proposal following. All stakeholders were invited to provide edits and comments to the developed proposals, or submit their own written proposal if opinions differed. Certain topics were </w:t>
      </w:r>
      <w:r>
        <w:lastRenderedPageBreak/>
        <w:t xml:space="preserve">revisited when additional discussion provided clarity or built consensus, or additional analysis was conducted to support or refine an initial proposal. </w:t>
      </w:r>
    </w:p>
    <w:p w14:paraId="07D8797F" w14:textId="6EA13295" w:rsidR="002901EE" w:rsidRDefault="002901EE" w:rsidP="005A2450">
      <w:pPr>
        <w:pStyle w:val="Heading1"/>
        <w:numPr>
          <w:ilvl w:val="0"/>
          <w:numId w:val="2"/>
        </w:numPr>
      </w:pPr>
      <w:bookmarkStart w:id="6" w:name="_Toc500517287"/>
      <w:r>
        <w:t>Recommendations Summary Table</w:t>
      </w:r>
      <w:bookmarkEnd w:id="6"/>
    </w:p>
    <w:p w14:paraId="6A80274E" w14:textId="77777777" w:rsidR="005A2450" w:rsidRPr="005A2450" w:rsidRDefault="005A2450" w:rsidP="005A2450"/>
    <w:p w14:paraId="71B9666F" w14:textId="7AA9D26E" w:rsidR="002901EE" w:rsidRDefault="00977F37" w:rsidP="002901EE">
      <w:r>
        <w:t xml:space="preserve">The following table identifies the issues discussed, ACR group (the ACR identified priority topics for discussion by the WG), which parties submitted written proposals and comments, and whether the topic has developed WG consensus or remains a non-consensus topic. </w:t>
      </w:r>
    </w:p>
    <w:tbl>
      <w:tblPr>
        <w:tblStyle w:val="TableGrid"/>
        <w:tblW w:w="10281" w:type="dxa"/>
        <w:tblLook w:val="04A0" w:firstRow="1" w:lastRow="0" w:firstColumn="1" w:lastColumn="0" w:noHBand="0" w:noVBand="1"/>
      </w:tblPr>
      <w:tblGrid>
        <w:gridCol w:w="2155"/>
        <w:gridCol w:w="1152"/>
        <w:gridCol w:w="1278"/>
        <w:gridCol w:w="2354"/>
        <w:gridCol w:w="1825"/>
        <w:gridCol w:w="1517"/>
      </w:tblGrid>
      <w:tr w:rsidR="000272B0" w14:paraId="7F855075" w14:textId="02EF52A1" w:rsidTr="00743843">
        <w:trPr>
          <w:trHeight w:val="750"/>
        </w:trPr>
        <w:tc>
          <w:tcPr>
            <w:tcW w:w="2155" w:type="dxa"/>
          </w:tcPr>
          <w:p w14:paraId="210C8C37" w14:textId="783DA581" w:rsidR="000272B0" w:rsidRPr="00743843" w:rsidRDefault="000272B0" w:rsidP="002901EE">
            <w:pPr>
              <w:rPr>
                <w:b/>
              </w:rPr>
            </w:pPr>
            <w:r w:rsidRPr="00743843">
              <w:rPr>
                <w:b/>
              </w:rPr>
              <w:t>Topic</w:t>
            </w:r>
          </w:p>
        </w:tc>
        <w:tc>
          <w:tcPr>
            <w:tcW w:w="1152" w:type="dxa"/>
          </w:tcPr>
          <w:p w14:paraId="796BE0A2" w14:textId="4ED2FD2B" w:rsidR="000272B0" w:rsidRPr="00743843" w:rsidRDefault="000272B0" w:rsidP="002901EE">
            <w:pPr>
              <w:rPr>
                <w:b/>
              </w:rPr>
            </w:pPr>
            <w:r w:rsidRPr="00743843">
              <w:rPr>
                <w:b/>
              </w:rPr>
              <w:t>ACR</w:t>
            </w:r>
          </w:p>
        </w:tc>
        <w:tc>
          <w:tcPr>
            <w:tcW w:w="1278" w:type="dxa"/>
          </w:tcPr>
          <w:p w14:paraId="3A95B212" w14:textId="64E59204" w:rsidR="000272B0" w:rsidRPr="00743843" w:rsidRDefault="000272B0" w:rsidP="002901EE">
            <w:pPr>
              <w:rPr>
                <w:b/>
              </w:rPr>
            </w:pPr>
            <w:r w:rsidRPr="00743843">
              <w:rPr>
                <w:b/>
              </w:rPr>
              <w:t>Proposals</w:t>
            </w:r>
          </w:p>
        </w:tc>
        <w:tc>
          <w:tcPr>
            <w:tcW w:w="2354" w:type="dxa"/>
          </w:tcPr>
          <w:p w14:paraId="1BDD22E6" w14:textId="687C44A5" w:rsidR="000272B0" w:rsidRPr="00743843" w:rsidRDefault="000272B0" w:rsidP="002901EE">
            <w:pPr>
              <w:rPr>
                <w:b/>
              </w:rPr>
            </w:pPr>
            <w:r w:rsidRPr="00743843">
              <w:rPr>
                <w:b/>
              </w:rPr>
              <w:t>Comments</w:t>
            </w:r>
          </w:p>
        </w:tc>
        <w:tc>
          <w:tcPr>
            <w:tcW w:w="1825" w:type="dxa"/>
          </w:tcPr>
          <w:p w14:paraId="0D909A8A" w14:textId="77C00DFB" w:rsidR="000272B0" w:rsidRPr="00743843" w:rsidRDefault="000272B0" w:rsidP="002901EE">
            <w:pPr>
              <w:rPr>
                <w:b/>
              </w:rPr>
            </w:pPr>
            <w:commentRangeStart w:id="7"/>
            <w:r w:rsidRPr="00743843">
              <w:rPr>
                <w:b/>
              </w:rPr>
              <w:t xml:space="preserve">Consensus </w:t>
            </w:r>
            <w:commentRangeEnd w:id="7"/>
            <w:r w:rsidR="006C7984">
              <w:rPr>
                <w:rStyle w:val="CommentReference"/>
              </w:rPr>
              <w:commentReference w:id="7"/>
            </w:r>
          </w:p>
        </w:tc>
        <w:tc>
          <w:tcPr>
            <w:tcW w:w="1517" w:type="dxa"/>
          </w:tcPr>
          <w:p w14:paraId="324199C5" w14:textId="75AADCE3" w:rsidR="000272B0" w:rsidRPr="00743843" w:rsidRDefault="000272B0" w:rsidP="002901EE">
            <w:pPr>
              <w:rPr>
                <w:b/>
              </w:rPr>
            </w:pPr>
            <w:r w:rsidRPr="00743843">
              <w:rPr>
                <w:b/>
              </w:rPr>
              <w:t>Additional discussion needed</w:t>
            </w:r>
          </w:p>
        </w:tc>
      </w:tr>
      <w:tr w:rsidR="000272B0" w14:paraId="026B6BFF" w14:textId="19B4E5A6" w:rsidTr="00743843">
        <w:trPr>
          <w:trHeight w:val="246"/>
        </w:trPr>
        <w:tc>
          <w:tcPr>
            <w:tcW w:w="2155" w:type="dxa"/>
          </w:tcPr>
          <w:p w14:paraId="386C9EC7" w14:textId="51C00FA9" w:rsidR="000272B0" w:rsidRDefault="000272B0" w:rsidP="002901EE">
            <w:r>
              <w:t>Avoided energy</w:t>
            </w:r>
          </w:p>
        </w:tc>
        <w:tc>
          <w:tcPr>
            <w:tcW w:w="1152" w:type="dxa"/>
          </w:tcPr>
          <w:p w14:paraId="3A13FEF3" w14:textId="745E8D0E" w:rsidR="000272B0" w:rsidRDefault="000272B0" w:rsidP="002901EE">
            <w:r>
              <w:t>Group I</w:t>
            </w:r>
          </w:p>
        </w:tc>
        <w:tc>
          <w:tcPr>
            <w:tcW w:w="1278" w:type="dxa"/>
          </w:tcPr>
          <w:p w14:paraId="2C289522" w14:textId="5213054A" w:rsidR="000272B0" w:rsidRDefault="00230833" w:rsidP="002901EE">
            <w:r>
              <w:t>Joint IOUs</w:t>
            </w:r>
          </w:p>
        </w:tc>
        <w:tc>
          <w:tcPr>
            <w:tcW w:w="2354" w:type="dxa"/>
          </w:tcPr>
          <w:p w14:paraId="2BEDFF90" w14:textId="77777777" w:rsidR="000272B0" w:rsidRDefault="000272B0" w:rsidP="002901EE"/>
        </w:tc>
        <w:tc>
          <w:tcPr>
            <w:tcW w:w="1825" w:type="dxa"/>
          </w:tcPr>
          <w:p w14:paraId="6471F25B" w14:textId="05F7766C" w:rsidR="000272B0" w:rsidRDefault="008C0309" w:rsidP="002901EE">
            <w:r>
              <w:t>Consensus</w:t>
            </w:r>
          </w:p>
        </w:tc>
        <w:tc>
          <w:tcPr>
            <w:tcW w:w="1517" w:type="dxa"/>
          </w:tcPr>
          <w:p w14:paraId="4BDADBEF" w14:textId="77777777" w:rsidR="000272B0" w:rsidRDefault="000272B0" w:rsidP="002901EE"/>
        </w:tc>
      </w:tr>
      <w:tr w:rsidR="000272B0" w14:paraId="0F702D89" w14:textId="2634365E" w:rsidTr="00743843">
        <w:trPr>
          <w:trHeight w:val="257"/>
        </w:trPr>
        <w:tc>
          <w:tcPr>
            <w:tcW w:w="2155" w:type="dxa"/>
          </w:tcPr>
          <w:p w14:paraId="6E1ACE6E" w14:textId="15B9509A" w:rsidR="000272B0" w:rsidRDefault="000272B0" w:rsidP="002901EE">
            <w:r>
              <w:t>Avoided capacity</w:t>
            </w:r>
          </w:p>
        </w:tc>
        <w:tc>
          <w:tcPr>
            <w:tcW w:w="1152" w:type="dxa"/>
          </w:tcPr>
          <w:p w14:paraId="156E4608" w14:textId="522C2723" w:rsidR="000272B0" w:rsidRDefault="00E26FE8" w:rsidP="002901EE">
            <w:r>
              <w:t>Group I</w:t>
            </w:r>
          </w:p>
        </w:tc>
        <w:tc>
          <w:tcPr>
            <w:tcW w:w="1278" w:type="dxa"/>
          </w:tcPr>
          <w:p w14:paraId="428152E2" w14:textId="0852523D" w:rsidR="000272B0" w:rsidRDefault="00743843" w:rsidP="002901EE">
            <w:r>
              <w:t>Joint IOUs</w:t>
            </w:r>
          </w:p>
        </w:tc>
        <w:tc>
          <w:tcPr>
            <w:tcW w:w="2354" w:type="dxa"/>
          </w:tcPr>
          <w:p w14:paraId="765587DB" w14:textId="32D026C5" w:rsidR="000272B0" w:rsidRDefault="00743843" w:rsidP="002901EE">
            <w:r>
              <w:t>SEIA</w:t>
            </w:r>
          </w:p>
        </w:tc>
        <w:tc>
          <w:tcPr>
            <w:tcW w:w="1825" w:type="dxa"/>
          </w:tcPr>
          <w:p w14:paraId="4A49E201" w14:textId="0186C5F6" w:rsidR="000272B0" w:rsidRDefault="008C0309" w:rsidP="002901EE">
            <w:r>
              <w:t>Non-consensus</w:t>
            </w:r>
          </w:p>
        </w:tc>
        <w:tc>
          <w:tcPr>
            <w:tcW w:w="1517" w:type="dxa"/>
          </w:tcPr>
          <w:p w14:paraId="3C16861F" w14:textId="77777777" w:rsidR="000272B0" w:rsidRDefault="000272B0" w:rsidP="002901EE"/>
        </w:tc>
      </w:tr>
      <w:tr w:rsidR="000272B0" w14:paraId="378A52F5" w14:textId="47242229" w:rsidTr="00743843">
        <w:trPr>
          <w:trHeight w:val="246"/>
        </w:trPr>
        <w:tc>
          <w:tcPr>
            <w:tcW w:w="2155" w:type="dxa"/>
          </w:tcPr>
          <w:p w14:paraId="5D8FAD32" w14:textId="6A29F203" w:rsidR="000272B0" w:rsidRDefault="000272B0" w:rsidP="002901EE">
            <w:r>
              <w:t>Avoided line losses</w:t>
            </w:r>
          </w:p>
        </w:tc>
        <w:tc>
          <w:tcPr>
            <w:tcW w:w="1152" w:type="dxa"/>
          </w:tcPr>
          <w:p w14:paraId="6BF43B7E" w14:textId="443B955B" w:rsidR="000272B0" w:rsidRDefault="00E26FE8" w:rsidP="002901EE">
            <w:r>
              <w:t>Group I</w:t>
            </w:r>
          </w:p>
        </w:tc>
        <w:tc>
          <w:tcPr>
            <w:tcW w:w="1278" w:type="dxa"/>
          </w:tcPr>
          <w:p w14:paraId="139B32EF" w14:textId="5FD869F3" w:rsidR="000272B0" w:rsidRDefault="00743843" w:rsidP="002901EE">
            <w:r>
              <w:t>Joint IOUs</w:t>
            </w:r>
          </w:p>
        </w:tc>
        <w:tc>
          <w:tcPr>
            <w:tcW w:w="2354" w:type="dxa"/>
          </w:tcPr>
          <w:p w14:paraId="43FDAC80" w14:textId="0974F958" w:rsidR="000272B0" w:rsidRDefault="00743843" w:rsidP="002901EE">
            <w:r>
              <w:t>Clean Coalition</w:t>
            </w:r>
          </w:p>
        </w:tc>
        <w:tc>
          <w:tcPr>
            <w:tcW w:w="1825" w:type="dxa"/>
          </w:tcPr>
          <w:p w14:paraId="75CF94BF" w14:textId="50457921" w:rsidR="000272B0" w:rsidRDefault="008C0309" w:rsidP="002901EE">
            <w:r>
              <w:t>Consensus</w:t>
            </w:r>
          </w:p>
        </w:tc>
        <w:tc>
          <w:tcPr>
            <w:tcW w:w="1517" w:type="dxa"/>
          </w:tcPr>
          <w:p w14:paraId="503F6300" w14:textId="77777777" w:rsidR="000272B0" w:rsidRDefault="000272B0" w:rsidP="002901EE"/>
        </w:tc>
      </w:tr>
      <w:tr w:rsidR="000272B0" w14:paraId="271C129C" w14:textId="2AC5C441" w:rsidTr="00743843">
        <w:trPr>
          <w:trHeight w:val="246"/>
        </w:trPr>
        <w:tc>
          <w:tcPr>
            <w:tcW w:w="2155" w:type="dxa"/>
          </w:tcPr>
          <w:p w14:paraId="509D4650" w14:textId="22B1B8A0" w:rsidR="000272B0" w:rsidRDefault="000272B0" w:rsidP="002901EE">
            <w:r>
              <w:t>Smart inverters: input hourly VAR profiles</w:t>
            </w:r>
          </w:p>
        </w:tc>
        <w:tc>
          <w:tcPr>
            <w:tcW w:w="1152" w:type="dxa"/>
          </w:tcPr>
          <w:p w14:paraId="3C9F4594" w14:textId="62D842E1" w:rsidR="000272B0" w:rsidRDefault="00E26FE8" w:rsidP="002901EE">
            <w:r>
              <w:t xml:space="preserve">Group I </w:t>
            </w:r>
          </w:p>
        </w:tc>
        <w:tc>
          <w:tcPr>
            <w:tcW w:w="1278" w:type="dxa"/>
          </w:tcPr>
          <w:p w14:paraId="453D026D" w14:textId="5E296846" w:rsidR="000272B0" w:rsidRDefault="00743843" w:rsidP="002901EE">
            <w:r>
              <w:t>Joint IOUs</w:t>
            </w:r>
          </w:p>
        </w:tc>
        <w:tc>
          <w:tcPr>
            <w:tcW w:w="2354" w:type="dxa"/>
          </w:tcPr>
          <w:p w14:paraId="5092EA43" w14:textId="77777777" w:rsidR="000272B0" w:rsidRDefault="000272B0" w:rsidP="002901EE"/>
        </w:tc>
        <w:tc>
          <w:tcPr>
            <w:tcW w:w="1825" w:type="dxa"/>
          </w:tcPr>
          <w:p w14:paraId="2F31DDF0" w14:textId="6D09EF39" w:rsidR="000272B0" w:rsidRDefault="004E2626" w:rsidP="002901EE">
            <w:r>
              <w:t>Consensus</w:t>
            </w:r>
          </w:p>
        </w:tc>
        <w:tc>
          <w:tcPr>
            <w:tcW w:w="1517" w:type="dxa"/>
          </w:tcPr>
          <w:p w14:paraId="0006AF82" w14:textId="77777777" w:rsidR="000272B0" w:rsidRDefault="000272B0" w:rsidP="002901EE"/>
        </w:tc>
      </w:tr>
      <w:tr w:rsidR="000272B0" w14:paraId="256F9896" w14:textId="77AD06DE" w:rsidTr="00743843">
        <w:trPr>
          <w:trHeight w:val="257"/>
        </w:trPr>
        <w:tc>
          <w:tcPr>
            <w:tcW w:w="2155" w:type="dxa"/>
          </w:tcPr>
          <w:p w14:paraId="63F84854" w14:textId="00F6FCC5" w:rsidR="000272B0" w:rsidRDefault="001960E2" w:rsidP="002901EE">
            <w:r>
              <w:t>Automatic Input of DER Profiles</w:t>
            </w:r>
          </w:p>
        </w:tc>
        <w:tc>
          <w:tcPr>
            <w:tcW w:w="1152" w:type="dxa"/>
          </w:tcPr>
          <w:p w14:paraId="46FBB2A8" w14:textId="68E534FE" w:rsidR="000272B0" w:rsidRDefault="001960E2" w:rsidP="002901EE">
            <w:r>
              <w:t>Group I</w:t>
            </w:r>
          </w:p>
        </w:tc>
        <w:tc>
          <w:tcPr>
            <w:tcW w:w="1278" w:type="dxa"/>
          </w:tcPr>
          <w:p w14:paraId="41019F56" w14:textId="687CA041" w:rsidR="000272B0" w:rsidRDefault="00743843" w:rsidP="002901EE">
            <w:r>
              <w:t>Joint IOUs</w:t>
            </w:r>
          </w:p>
        </w:tc>
        <w:tc>
          <w:tcPr>
            <w:tcW w:w="2354" w:type="dxa"/>
          </w:tcPr>
          <w:p w14:paraId="764A8AF1" w14:textId="77777777" w:rsidR="000272B0" w:rsidRDefault="000272B0" w:rsidP="002901EE"/>
        </w:tc>
        <w:tc>
          <w:tcPr>
            <w:tcW w:w="1825" w:type="dxa"/>
          </w:tcPr>
          <w:p w14:paraId="24C1448D" w14:textId="0AE332D6" w:rsidR="000272B0" w:rsidRDefault="004E2626" w:rsidP="002901EE">
            <w:r>
              <w:t>Consensus</w:t>
            </w:r>
          </w:p>
        </w:tc>
        <w:tc>
          <w:tcPr>
            <w:tcW w:w="1517" w:type="dxa"/>
          </w:tcPr>
          <w:p w14:paraId="43ED703A" w14:textId="77777777" w:rsidR="000272B0" w:rsidRDefault="000272B0" w:rsidP="002901EE"/>
        </w:tc>
      </w:tr>
      <w:tr w:rsidR="000272B0" w14:paraId="08F9D258" w14:textId="06F74B66" w:rsidTr="00743843">
        <w:trPr>
          <w:trHeight w:val="246"/>
        </w:trPr>
        <w:tc>
          <w:tcPr>
            <w:tcW w:w="2155" w:type="dxa"/>
          </w:tcPr>
          <w:p w14:paraId="453D7148" w14:textId="0345C238" w:rsidR="000272B0" w:rsidRDefault="001960E2" w:rsidP="002901EE">
            <w:r>
              <w:t>Avoided transmission value</w:t>
            </w:r>
          </w:p>
        </w:tc>
        <w:tc>
          <w:tcPr>
            <w:tcW w:w="1152" w:type="dxa"/>
          </w:tcPr>
          <w:p w14:paraId="612FB93C" w14:textId="3E53E565" w:rsidR="000272B0" w:rsidRDefault="001960E2" w:rsidP="002901EE">
            <w:r>
              <w:t>Group I</w:t>
            </w:r>
          </w:p>
        </w:tc>
        <w:tc>
          <w:tcPr>
            <w:tcW w:w="1278" w:type="dxa"/>
          </w:tcPr>
          <w:p w14:paraId="1A4A4154" w14:textId="77777777" w:rsidR="00E7087E" w:rsidRPr="00FF3F72" w:rsidRDefault="00E7087E" w:rsidP="002901EE">
            <w:r w:rsidRPr="00FF3F72">
              <w:t>PG&amp;E, SCE, SDG&amp;E</w:t>
            </w:r>
          </w:p>
          <w:p w14:paraId="46CD2662" w14:textId="77777777" w:rsidR="00E7087E" w:rsidRPr="00FF3F72" w:rsidRDefault="00E7087E" w:rsidP="002901EE">
            <w:r w:rsidRPr="00FF3F72">
              <w:t>TURN</w:t>
            </w:r>
          </w:p>
          <w:p w14:paraId="1133661D" w14:textId="77777777" w:rsidR="00E7087E" w:rsidRPr="00AD561F" w:rsidRDefault="00E7087E" w:rsidP="002901EE">
            <w:r w:rsidRPr="00AD561F">
              <w:t>SEIA</w:t>
            </w:r>
          </w:p>
          <w:p w14:paraId="7EE22A14" w14:textId="77893E8B" w:rsidR="00AD561F" w:rsidRPr="00E7087E" w:rsidRDefault="00AD561F" w:rsidP="002901EE">
            <w:pPr>
              <w:rPr>
                <w:highlight w:val="yellow"/>
              </w:rPr>
            </w:pPr>
            <w:r w:rsidRPr="00AD561F">
              <w:t>Clean Coalition</w:t>
            </w:r>
          </w:p>
        </w:tc>
        <w:tc>
          <w:tcPr>
            <w:tcW w:w="2354" w:type="dxa"/>
          </w:tcPr>
          <w:p w14:paraId="08CE35E0" w14:textId="77777777" w:rsidR="000272B0" w:rsidRDefault="00E7087E" w:rsidP="002901EE">
            <w:r>
              <w:t>CAISO</w:t>
            </w:r>
          </w:p>
          <w:p w14:paraId="45754810" w14:textId="0A9171FA" w:rsidR="009C49DB" w:rsidRDefault="009C49DB" w:rsidP="002901EE"/>
        </w:tc>
        <w:tc>
          <w:tcPr>
            <w:tcW w:w="1825" w:type="dxa"/>
          </w:tcPr>
          <w:p w14:paraId="3F5A5EF6" w14:textId="60594A92" w:rsidR="000272B0" w:rsidRDefault="004E2626" w:rsidP="002901EE">
            <w:r>
              <w:t>Deferred</w:t>
            </w:r>
            <w:r w:rsidR="00FF3F72">
              <w:t xml:space="preserve"> to ED Process</w:t>
            </w:r>
          </w:p>
        </w:tc>
        <w:tc>
          <w:tcPr>
            <w:tcW w:w="1517" w:type="dxa"/>
          </w:tcPr>
          <w:p w14:paraId="581431DD" w14:textId="5ED33DBD" w:rsidR="000272B0" w:rsidRDefault="004E2626" w:rsidP="002901EE">
            <w:r>
              <w:t>Yes</w:t>
            </w:r>
          </w:p>
        </w:tc>
      </w:tr>
      <w:tr w:rsidR="001960E2" w14:paraId="29FA2F15" w14:textId="77777777" w:rsidTr="00743843">
        <w:trPr>
          <w:trHeight w:val="246"/>
        </w:trPr>
        <w:tc>
          <w:tcPr>
            <w:tcW w:w="2155" w:type="dxa"/>
          </w:tcPr>
          <w:p w14:paraId="08B4A335" w14:textId="6A2D1C18" w:rsidR="001960E2" w:rsidRDefault="004E2626" w:rsidP="002901EE">
            <w:r>
              <w:t>Uncertainty metric</w:t>
            </w:r>
          </w:p>
        </w:tc>
        <w:tc>
          <w:tcPr>
            <w:tcW w:w="1152" w:type="dxa"/>
          </w:tcPr>
          <w:p w14:paraId="14E5E22D" w14:textId="3558CB27" w:rsidR="001960E2" w:rsidRDefault="004E2626" w:rsidP="002901EE">
            <w:r>
              <w:t>Group II</w:t>
            </w:r>
          </w:p>
        </w:tc>
        <w:tc>
          <w:tcPr>
            <w:tcW w:w="1278" w:type="dxa"/>
          </w:tcPr>
          <w:p w14:paraId="52229B7C" w14:textId="24E0B0CB" w:rsidR="001960E2" w:rsidRDefault="00743843" w:rsidP="002901EE">
            <w:r>
              <w:t>Joint IOUs</w:t>
            </w:r>
          </w:p>
        </w:tc>
        <w:tc>
          <w:tcPr>
            <w:tcW w:w="2354" w:type="dxa"/>
          </w:tcPr>
          <w:p w14:paraId="14B3B44C" w14:textId="77777777" w:rsidR="001960E2" w:rsidRDefault="001960E2" w:rsidP="002901EE"/>
        </w:tc>
        <w:tc>
          <w:tcPr>
            <w:tcW w:w="1825" w:type="dxa"/>
          </w:tcPr>
          <w:p w14:paraId="4D188FB1" w14:textId="68F45918" w:rsidR="001960E2" w:rsidRDefault="004E2626" w:rsidP="002901EE">
            <w:r>
              <w:t>Consensus</w:t>
            </w:r>
          </w:p>
        </w:tc>
        <w:tc>
          <w:tcPr>
            <w:tcW w:w="1517" w:type="dxa"/>
          </w:tcPr>
          <w:p w14:paraId="424D4919" w14:textId="77777777" w:rsidR="001960E2" w:rsidRDefault="001960E2" w:rsidP="002901EE"/>
        </w:tc>
      </w:tr>
      <w:tr w:rsidR="004E2626" w14:paraId="1CD717B3" w14:textId="77777777" w:rsidTr="00743843">
        <w:trPr>
          <w:trHeight w:val="246"/>
        </w:trPr>
        <w:tc>
          <w:tcPr>
            <w:tcW w:w="2155" w:type="dxa"/>
          </w:tcPr>
          <w:p w14:paraId="7E20A168" w14:textId="373B99CB" w:rsidR="004E2626" w:rsidRDefault="004E2626" w:rsidP="002901EE">
            <w:r>
              <w:t>Use of single or multiple growth forecasts</w:t>
            </w:r>
          </w:p>
        </w:tc>
        <w:tc>
          <w:tcPr>
            <w:tcW w:w="1152" w:type="dxa"/>
          </w:tcPr>
          <w:p w14:paraId="44DD12AF" w14:textId="2DE20FA2" w:rsidR="004E2626" w:rsidRDefault="004E2626" w:rsidP="002901EE">
            <w:r>
              <w:t>Group II</w:t>
            </w:r>
          </w:p>
        </w:tc>
        <w:tc>
          <w:tcPr>
            <w:tcW w:w="1278" w:type="dxa"/>
          </w:tcPr>
          <w:p w14:paraId="70229FCF" w14:textId="7EEE3B57" w:rsidR="004E2626" w:rsidRDefault="00743843" w:rsidP="002901EE">
            <w:r>
              <w:t>Joint IOUs</w:t>
            </w:r>
          </w:p>
        </w:tc>
        <w:tc>
          <w:tcPr>
            <w:tcW w:w="2354" w:type="dxa"/>
          </w:tcPr>
          <w:p w14:paraId="7B59B90A" w14:textId="77777777" w:rsidR="004E2626" w:rsidRDefault="004E2626" w:rsidP="002901EE"/>
        </w:tc>
        <w:tc>
          <w:tcPr>
            <w:tcW w:w="1825" w:type="dxa"/>
          </w:tcPr>
          <w:p w14:paraId="3C1CA3C1" w14:textId="010ADAF8" w:rsidR="004E2626" w:rsidRDefault="004E2626" w:rsidP="002901EE">
            <w:r>
              <w:t>Consensus</w:t>
            </w:r>
          </w:p>
        </w:tc>
        <w:tc>
          <w:tcPr>
            <w:tcW w:w="1517" w:type="dxa"/>
          </w:tcPr>
          <w:p w14:paraId="31C2E4FA" w14:textId="77777777" w:rsidR="004E2626" w:rsidRDefault="004E2626" w:rsidP="002901EE"/>
        </w:tc>
      </w:tr>
      <w:tr w:rsidR="004E2626" w14:paraId="333882F5" w14:textId="77777777" w:rsidTr="00743843">
        <w:trPr>
          <w:trHeight w:val="246"/>
        </w:trPr>
        <w:tc>
          <w:tcPr>
            <w:tcW w:w="2155" w:type="dxa"/>
          </w:tcPr>
          <w:p w14:paraId="2BDAC346" w14:textId="4D3E1695" w:rsidR="004E2626" w:rsidRDefault="004E2626" w:rsidP="002901EE">
            <w:r>
              <w:t>Conservation voltage reduction (CVR)</w:t>
            </w:r>
          </w:p>
        </w:tc>
        <w:tc>
          <w:tcPr>
            <w:tcW w:w="1152" w:type="dxa"/>
          </w:tcPr>
          <w:p w14:paraId="02820F54" w14:textId="5BFCF745" w:rsidR="004E2626" w:rsidRDefault="004E2626" w:rsidP="002901EE">
            <w:r>
              <w:t>Group III</w:t>
            </w:r>
          </w:p>
        </w:tc>
        <w:tc>
          <w:tcPr>
            <w:tcW w:w="1278" w:type="dxa"/>
          </w:tcPr>
          <w:p w14:paraId="5292B426" w14:textId="59085C61" w:rsidR="004E2626" w:rsidRDefault="00743843" w:rsidP="002901EE">
            <w:r>
              <w:t>SEIA and Tesla</w:t>
            </w:r>
          </w:p>
        </w:tc>
        <w:tc>
          <w:tcPr>
            <w:tcW w:w="2354" w:type="dxa"/>
          </w:tcPr>
          <w:p w14:paraId="016CEE67" w14:textId="77777777" w:rsidR="004E2626" w:rsidRDefault="00743843" w:rsidP="002901EE">
            <w:r>
              <w:t>TURN</w:t>
            </w:r>
          </w:p>
          <w:p w14:paraId="6115FD35" w14:textId="3C42AD77" w:rsidR="00743843" w:rsidRDefault="00743843" w:rsidP="002901EE">
            <w:r>
              <w:t>Joint IOUs</w:t>
            </w:r>
          </w:p>
        </w:tc>
        <w:tc>
          <w:tcPr>
            <w:tcW w:w="1825" w:type="dxa"/>
          </w:tcPr>
          <w:p w14:paraId="239FBE36" w14:textId="2690707A" w:rsidR="004E2626" w:rsidRDefault="004E2626" w:rsidP="002901EE">
            <w:r>
              <w:t>Non-consensus</w:t>
            </w:r>
          </w:p>
        </w:tc>
        <w:tc>
          <w:tcPr>
            <w:tcW w:w="1517" w:type="dxa"/>
          </w:tcPr>
          <w:p w14:paraId="4250DCEF" w14:textId="77777777" w:rsidR="004E2626" w:rsidRDefault="004E2626" w:rsidP="002901EE"/>
        </w:tc>
      </w:tr>
      <w:tr w:rsidR="004E2626" w14:paraId="54815079" w14:textId="77777777" w:rsidTr="00743843">
        <w:trPr>
          <w:trHeight w:val="246"/>
        </w:trPr>
        <w:tc>
          <w:tcPr>
            <w:tcW w:w="2155" w:type="dxa"/>
          </w:tcPr>
          <w:p w14:paraId="2AF394FE" w14:textId="7CF23349" w:rsidR="004E2626" w:rsidRDefault="004E2626" w:rsidP="002901EE">
            <w:r>
              <w:t>Situational awareness</w:t>
            </w:r>
          </w:p>
        </w:tc>
        <w:tc>
          <w:tcPr>
            <w:tcW w:w="1152" w:type="dxa"/>
          </w:tcPr>
          <w:p w14:paraId="5DA7A1E6" w14:textId="017EAB69" w:rsidR="004E2626" w:rsidRDefault="004E2626" w:rsidP="002901EE">
            <w:r>
              <w:t>Group III</w:t>
            </w:r>
          </w:p>
        </w:tc>
        <w:tc>
          <w:tcPr>
            <w:tcW w:w="1278" w:type="dxa"/>
          </w:tcPr>
          <w:p w14:paraId="09DFDA42" w14:textId="77777777" w:rsidR="004E2626" w:rsidRDefault="00743843" w:rsidP="002901EE">
            <w:r>
              <w:t>Joint IOUs;</w:t>
            </w:r>
          </w:p>
          <w:p w14:paraId="02FAD54B" w14:textId="02B8DDE7" w:rsidR="00743843" w:rsidRDefault="00743843" w:rsidP="002901EE">
            <w:r>
              <w:t>SEIA and Tesla</w:t>
            </w:r>
          </w:p>
        </w:tc>
        <w:tc>
          <w:tcPr>
            <w:tcW w:w="2354" w:type="dxa"/>
          </w:tcPr>
          <w:p w14:paraId="4D231F28" w14:textId="77777777" w:rsidR="004E2626" w:rsidRDefault="00743843" w:rsidP="002901EE">
            <w:r>
              <w:t>Joint IOUs</w:t>
            </w:r>
          </w:p>
          <w:p w14:paraId="6BD53E77" w14:textId="77796DCB" w:rsidR="00743843" w:rsidRDefault="00743843" w:rsidP="002901EE">
            <w:r>
              <w:t>SEIA and Tesla</w:t>
            </w:r>
          </w:p>
        </w:tc>
        <w:tc>
          <w:tcPr>
            <w:tcW w:w="1825" w:type="dxa"/>
          </w:tcPr>
          <w:p w14:paraId="6ECA391E" w14:textId="746698F1" w:rsidR="004E2626" w:rsidRDefault="00230833" w:rsidP="002901EE">
            <w:r>
              <w:t>Non-consensus</w:t>
            </w:r>
          </w:p>
        </w:tc>
        <w:tc>
          <w:tcPr>
            <w:tcW w:w="1517" w:type="dxa"/>
          </w:tcPr>
          <w:p w14:paraId="5EFE153B" w14:textId="77777777" w:rsidR="004E2626" w:rsidRDefault="004E2626" w:rsidP="002901EE"/>
        </w:tc>
      </w:tr>
      <w:tr w:rsidR="004E2626" w14:paraId="2CDAC02D" w14:textId="77777777" w:rsidTr="00743843">
        <w:trPr>
          <w:trHeight w:val="246"/>
        </w:trPr>
        <w:tc>
          <w:tcPr>
            <w:tcW w:w="2155" w:type="dxa"/>
          </w:tcPr>
          <w:p w14:paraId="2B9459DD" w14:textId="4F18F68C" w:rsidR="004E2626" w:rsidRDefault="004E2626" w:rsidP="002901EE">
            <w:r>
              <w:t>Asset life extension or reduction</w:t>
            </w:r>
          </w:p>
        </w:tc>
        <w:tc>
          <w:tcPr>
            <w:tcW w:w="1152" w:type="dxa"/>
          </w:tcPr>
          <w:p w14:paraId="75483FC9" w14:textId="27B8C3EC" w:rsidR="004E2626" w:rsidRDefault="004E2626" w:rsidP="002901EE">
            <w:r>
              <w:t>Group III</w:t>
            </w:r>
          </w:p>
        </w:tc>
        <w:tc>
          <w:tcPr>
            <w:tcW w:w="1278" w:type="dxa"/>
          </w:tcPr>
          <w:p w14:paraId="6FC3ED50" w14:textId="7B521B01" w:rsidR="004E2626" w:rsidRDefault="00743843" w:rsidP="002901EE">
            <w:r>
              <w:t>Joint IOUs</w:t>
            </w:r>
          </w:p>
        </w:tc>
        <w:tc>
          <w:tcPr>
            <w:tcW w:w="2354" w:type="dxa"/>
          </w:tcPr>
          <w:p w14:paraId="4A741A76" w14:textId="77777777" w:rsidR="004E2626" w:rsidRDefault="004E2626" w:rsidP="002901EE"/>
        </w:tc>
        <w:tc>
          <w:tcPr>
            <w:tcW w:w="1825" w:type="dxa"/>
          </w:tcPr>
          <w:p w14:paraId="6327F935" w14:textId="59643588" w:rsidR="004E2626" w:rsidRDefault="00230833" w:rsidP="002901EE">
            <w:r>
              <w:t>Consensus</w:t>
            </w:r>
          </w:p>
        </w:tc>
        <w:tc>
          <w:tcPr>
            <w:tcW w:w="1517" w:type="dxa"/>
          </w:tcPr>
          <w:p w14:paraId="0F904604" w14:textId="77777777" w:rsidR="004E2626" w:rsidRDefault="004E2626" w:rsidP="002901EE"/>
        </w:tc>
      </w:tr>
      <w:tr w:rsidR="004E2626" w14:paraId="7687E660" w14:textId="77777777" w:rsidTr="00743843">
        <w:trPr>
          <w:trHeight w:val="246"/>
        </w:trPr>
        <w:tc>
          <w:tcPr>
            <w:tcW w:w="2155" w:type="dxa"/>
          </w:tcPr>
          <w:p w14:paraId="08F195D1" w14:textId="7C23B1CC" w:rsidR="004E2626" w:rsidRDefault="004E2626" w:rsidP="002901EE">
            <w:r>
              <w:t>Non-capacity related reliability</w:t>
            </w:r>
          </w:p>
        </w:tc>
        <w:tc>
          <w:tcPr>
            <w:tcW w:w="1152" w:type="dxa"/>
          </w:tcPr>
          <w:p w14:paraId="370D280D" w14:textId="629E4963" w:rsidR="004E2626" w:rsidRDefault="004E2626" w:rsidP="002901EE">
            <w:r>
              <w:t>Group III</w:t>
            </w:r>
          </w:p>
        </w:tc>
        <w:tc>
          <w:tcPr>
            <w:tcW w:w="1278" w:type="dxa"/>
          </w:tcPr>
          <w:p w14:paraId="153F7407" w14:textId="77777777" w:rsidR="004E2626" w:rsidRDefault="00743843" w:rsidP="002901EE">
            <w:r>
              <w:t>SEIA;</w:t>
            </w:r>
          </w:p>
          <w:p w14:paraId="0EC64C3F" w14:textId="3F15C394" w:rsidR="00743843" w:rsidRDefault="00743843" w:rsidP="002901EE">
            <w:r>
              <w:t>Joint IOUs</w:t>
            </w:r>
          </w:p>
        </w:tc>
        <w:tc>
          <w:tcPr>
            <w:tcW w:w="2354" w:type="dxa"/>
          </w:tcPr>
          <w:p w14:paraId="5C380573" w14:textId="77777777" w:rsidR="004E2626" w:rsidRDefault="00743843" w:rsidP="002901EE">
            <w:r>
              <w:t>Joint IOUs</w:t>
            </w:r>
          </w:p>
          <w:p w14:paraId="6867D856" w14:textId="3E5C2F7D" w:rsidR="00743843" w:rsidRDefault="00743843" w:rsidP="002901EE">
            <w:r>
              <w:t>SEIA</w:t>
            </w:r>
          </w:p>
        </w:tc>
        <w:tc>
          <w:tcPr>
            <w:tcW w:w="1825" w:type="dxa"/>
          </w:tcPr>
          <w:p w14:paraId="72E35812" w14:textId="1F063D07" w:rsidR="004E2626" w:rsidRDefault="00230833" w:rsidP="002901EE">
            <w:r>
              <w:t>Non-consensus</w:t>
            </w:r>
          </w:p>
        </w:tc>
        <w:tc>
          <w:tcPr>
            <w:tcW w:w="1517" w:type="dxa"/>
          </w:tcPr>
          <w:p w14:paraId="16B69BE9" w14:textId="77777777" w:rsidR="004E2626" w:rsidRDefault="004E2626" w:rsidP="002901EE"/>
        </w:tc>
      </w:tr>
      <w:tr w:rsidR="004E2626" w14:paraId="3CC2A827" w14:textId="77777777" w:rsidTr="00743843">
        <w:trPr>
          <w:trHeight w:val="246"/>
        </w:trPr>
        <w:tc>
          <w:tcPr>
            <w:tcW w:w="2155" w:type="dxa"/>
          </w:tcPr>
          <w:p w14:paraId="2BC39AE7" w14:textId="1426E4D7" w:rsidR="004E2626" w:rsidRDefault="004E2626" w:rsidP="002901EE">
            <w:r>
              <w:t>Valuing unplanned grid needs, value beyond 10 years</w:t>
            </w:r>
          </w:p>
        </w:tc>
        <w:tc>
          <w:tcPr>
            <w:tcW w:w="1152" w:type="dxa"/>
          </w:tcPr>
          <w:p w14:paraId="0A1A4AE4" w14:textId="017BABF0" w:rsidR="004E2626" w:rsidRDefault="004E2626" w:rsidP="002901EE">
            <w:r>
              <w:t>Group III</w:t>
            </w:r>
          </w:p>
        </w:tc>
        <w:tc>
          <w:tcPr>
            <w:tcW w:w="1278" w:type="dxa"/>
          </w:tcPr>
          <w:p w14:paraId="2DB7BE6F" w14:textId="62BA6FA5" w:rsidR="004E2626" w:rsidRDefault="00743843" w:rsidP="002901EE">
            <w:r>
              <w:t>None (Discussion based)</w:t>
            </w:r>
          </w:p>
        </w:tc>
        <w:tc>
          <w:tcPr>
            <w:tcW w:w="2354" w:type="dxa"/>
          </w:tcPr>
          <w:p w14:paraId="7D11653D" w14:textId="5A3D2EB5" w:rsidR="004E2626" w:rsidRDefault="00743843" w:rsidP="002901EE">
            <w:r>
              <w:t>CALSEIA</w:t>
            </w:r>
          </w:p>
        </w:tc>
        <w:tc>
          <w:tcPr>
            <w:tcW w:w="1825" w:type="dxa"/>
          </w:tcPr>
          <w:p w14:paraId="1F65C8DA" w14:textId="6B8EEC40" w:rsidR="004E2626" w:rsidRDefault="00230833" w:rsidP="002901EE">
            <w:r>
              <w:t>Non-consensus; deferred</w:t>
            </w:r>
            <w:r w:rsidR="00FF3F72">
              <w:t xml:space="preserve"> to ED Process</w:t>
            </w:r>
          </w:p>
        </w:tc>
        <w:tc>
          <w:tcPr>
            <w:tcW w:w="1517" w:type="dxa"/>
          </w:tcPr>
          <w:p w14:paraId="1ED7180F" w14:textId="2997A8C6" w:rsidR="004E2626" w:rsidRDefault="00230833" w:rsidP="002901EE">
            <w:r>
              <w:t>Yes</w:t>
            </w:r>
          </w:p>
        </w:tc>
      </w:tr>
    </w:tbl>
    <w:p w14:paraId="1DB323CC" w14:textId="77777777" w:rsidR="002901EE" w:rsidRPr="002901EE" w:rsidRDefault="002901EE" w:rsidP="002901EE"/>
    <w:p w14:paraId="3E32CA4E" w14:textId="20BD4C8A" w:rsidR="00E9160B" w:rsidRDefault="00E9160B" w:rsidP="005A2450">
      <w:pPr>
        <w:pStyle w:val="Heading1"/>
        <w:numPr>
          <w:ilvl w:val="0"/>
          <w:numId w:val="2"/>
        </w:numPr>
      </w:pPr>
      <w:bookmarkStart w:id="8" w:name="_Toc500517288"/>
      <w:r w:rsidRPr="004C2343">
        <w:lastRenderedPageBreak/>
        <w:t>Group I topics</w:t>
      </w:r>
      <w:bookmarkEnd w:id="8"/>
    </w:p>
    <w:p w14:paraId="1E58B418" w14:textId="6DA4DC54" w:rsidR="00FF3F72" w:rsidRDefault="005A2450" w:rsidP="00FF3F72">
      <w:r>
        <w:t xml:space="preserve">The following topics were identified as Group 1 priority topics for WG discussion: </w:t>
      </w:r>
      <w:r w:rsidR="00FF3F72">
        <w:t>1) l</w:t>
      </w:r>
      <w:r w:rsidR="00A75C7F">
        <w:t>ocational avoided energy value</w:t>
      </w:r>
      <w:r w:rsidR="00FF3F72">
        <w:t>; 2) l</w:t>
      </w:r>
      <w:r w:rsidR="00A75C7F">
        <w:t>ocational avoided capacity value</w:t>
      </w:r>
      <w:r w:rsidR="00FF3F72">
        <w:t>; 3) l</w:t>
      </w:r>
      <w:r w:rsidR="00A75C7F">
        <w:t>ocational avoided line losses value</w:t>
      </w:r>
      <w:r w:rsidR="00FF3F72">
        <w:t xml:space="preserve">; 4) incorporation of reactive power priority (VAR profiles); </w:t>
      </w:r>
      <w:r w:rsidR="00A574EF">
        <w:t>4)</w:t>
      </w:r>
      <w:r w:rsidR="00FF3F72">
        <w:t xml:space="preserve"> automatic input of DER profiles; and </w:t>
      </w:r>
      <w:r w:rsidR="00A574EF">
        <w:t>5</w:t>
      </w:r>
      <w:r w:rsidR="00FF3F72">
        <w:t xml:space="preserve">) locational avoided transmission value </w:t>
      </w:r>
    </w:p>
    <w:p w14:paraId="0BE7A71D" w14:textId="64AB9271" w:rsidR="00A75C7F" w:rsidRDefault="000272B0" w:rsidP="00A75C7F">
      <w:pPr>
        <w:pStyle w:val="Heading2"/>
        <w:numPr>
          <w:ilvl w:val="1"/>
          <w:numId w:val="2"/>
        </w:numPr>
      </w:pPr>
      <w:bookmarkStart w:id="9" w:name="_Toc500517289"/>
      <w:r w:rsidRPr="0051074E">
        <w:t>Incorporate additional locational granularity into energy, capacity, and line losses system-level avoided cost values</w:t>
      </w:r>
      <w:bookmarkEnd w:id="9"/>
      <w:r w:rsidRPr="0051074E">
        <w:t xml:space="preserve"> </w:t>
      </w:r>
    </w:p>
    <w:p w14:paraId="251DD331" w14:textId="77777777" w:rsidR="00A75C7F" w:rsidRPr="00A75C7F" w:rsidRDefault="00A75C7F" w:rsidP="00A75C7F"/>
    <w:p w14:paraId="2E5A58DF" w14:textId="18C020B5" w:rsidR="005A2450" w:rsidRPr="005A2450" w:rsidRDefault="000272B0" w:rsidP="00A75C7F">
      <w:pPr>
        <w:pStyle w:val="Heading3"/>
        <w:numPr>
          <w:ilvl w:val="2"/>
          <w:numId w:val="2"/>
        </w:numPr>
      </w:pPr>
      <w:bookmarkStart w:id="10" w:name="_Toc500517290"/>
      <w:r w:rsidRPr="00A73E47">
        <w:t>Energy</w:t>
      </w:r>
      <w:bookmarkEnd w:id="10"/>
    </w:p>
    <w:p w14:paraId="565A0C78" w14:textId="77777777" w:rsidR="000272B0" w:rsidRDefault="000272B0" w:rsidP="000272B0">
      <w:r>
        <w:t xml:space="preserve">The current avoided energy price forecast in the LNBA tool is taken from the 2016 DERAC calculator. The WG agrees that a more locational avoided energy price forecast should be used. This locational value should reflect the default load aggregation point (DLAP) price, as this represents the price IOUs pay to serve load. The IOUs engaged E3 in further analysis to develop two options on how to develop DLAP forecasts. These options were presented to the WG at the November meeting.  </w:t>
      </w:r>
    </w:p>
    <w:p w14:paraId="579D2EBC" w14:textId="77777777" w:rsidR="000272B0" w:rsidRDefault="000272B0" w:rsidP="000272B0">
      <w:pPr>
        <w:spacing w:after="0"/>
      </w:pPr>
      <w:r>
        <w:t>The first option uses a similar approach to the methodology used in DERAC. This proxy methodology would utilize recent historical or forecasted hourly DLAP energy prices modified by heat rate factors to obtain hourly energy prices forecasts. The heat rate factors would be obtained from the CPUC’s Integrated Resource Plan (IRP) RESOLVE model. By utilizing the IRP RESOLVE model, the heat rate factors would incorporate the future impacts of California policy (e.g., SB350 and Governor’s 2030 Greenhouse Gas Reduction goal). The proxy method would improve the current DERAC methodology (1) by providing more locational granularity (because it utilizes hourly DLAP energy prices) and (2) by utilizing updated heat rate factors that are consistent with the IRP. In addition, this proxy methodology could be implemented in a relatively short time. However, additional analysis of the results from the proxy methodology would be necessary to ensure the validity of the price forecast. For example, the Resolve model only uses 37 representative daytypes to simplify the modeling. These 37 daytypes would need to be matched to all hours of the year to develop the heat rate factors. When transitioning from one daytype to another, there is the potential for the price forecast to change suddenly due to the difference in daytypes.</w:t>
      </w:r>
    </w:p>
    <w:p w14:paraId="4416C5A7" w14:textId="77777777" w:rsidR="000272B0" w:rsidRDefault="000272B0" w:rsidP="000272B0">
      <w:pPr>
        <w:spacing w:after="0"/>
      </w:pPr>
    </w:p>
    <w:p w14:paraId="569FA378" w14:textId="472023E2" w:rsidR="000272B0" w:rsidRDefault="000272B0" w:rsidP="00122609">
      <w:pPr>
        <w:spacing w:after="0"/>
      </w:pPr>
      <w:r>
        <w:t xml:space="preserve">The second option would be to utilize a full annual, hourly production cost model to develop price forecasts. A production cost model simulates the grid by minimizing the cost of operating the grid subjected to constraints such as serving load, individual generator operational constraints, and transmission limits. Thus, a production cost model would be able to provide a more detailed and precise view of future prices, especially by location if locational price differences change over time in response to load, resource, or transmission changes. The IRP proceeding currently is planning to develop a SERVM model, a hybrid resource adequacy and production cost software, to further assess the impacts of scenarios on the grid and would also incorporate future effects of California policy which could potentially be leveraged to provide an energy forecast. While SERVM can provide an energy forecast, the software is more focused on resource adequacy. Because of SERVM’s focus on resource adequacy, it may be necessary to translate the SERVM model to a more dispatch based production cost model (e.g., PLEXOS, AURORA, or Gridview) which could provide a robust energy forecast. The IRP’s SERVM model is </w:t>
      </w:r>
      <w:r>
        <w:lastRenderedPageBreak/>
        <w:t>not expected to be finished until the middle of 2018. Additional vetting or analysis may need to occur to validate the results from any production cost model.</w:t>
      </w:r>
    </w:p>
    <w:p w14:paraId="370D6C52" w14:textId="77777777" w:rsidR="00122609" w:rsidRDefault="00122609" w:rsidP="00122609">
      <w:pPr>
        <w:spacing w:after="0"/>
      </w:pPr>
    </w:p>
    <w:p w14:paraId="454F0A09" w14:textId="77777777" w:rsidR="000272B0" w:rsidRPr="00A73E47" w:rsidRDefault="000272B0" w:rsidP="000272B0">
      <w:commentRangeStart w:id="11"/>
      <w:r>
        <w:t>The</w:t>
      </w:r>
      <w:commentRangeEnd w:id="11"/>
      <w:r>
        <w:rPr>
          <w:rStyle w:val="CommentReference"/>
        </w:rPr>
        <w:commentReference w:id="11"/>
      </w:r>
      <w:r>
        <w:t xml:space="preserve"> IOUs recommend using the first, proxy methodology as an interim solution to provide locational DLAP price forecasts. Once an IRP production cost model is ready and has been validated, the IOUs recommend that the interim methodology results be replaced with the production cost model results, assuming that the production cost model price forecast would be more accurate. Finally, the IOUs recommend that the development of the prices using the proposed phased approach should be done in annual update to the DERAC as part of the IDER proceeding. This would allow stakeholders to review the results of the methodology, leverage the existing process to update the DERAC, and fulfill the DRP Track 1 decision to inform the DERAC of improvements from the LNBA cost effectiveness use case. Once adopted in an updated DERAC, the LNBA tool would be updated to reflect the changes for the LNBA deferral use case. </w:t>
      </w:r>
    </w:p>
    <w:p w14:paraId="41C66CF3" w14:textId="744E8B0E" w:rsidR="00A75C7F" w:rsidRDefault="000272B0" w:rsidP="00A75C7F">
      <w:pPr>
        <w:pStyle w:val="Heading3"/>
        <w:numPr>
          <w:ilvl w:val="2"/>
          <w:numId w:val="2"/>
        </w:numPr>
      </w:pPr>
      <w:bookmarkStart w:id="12" w:name="_Toc500517291"/>
      <w:r w:rsidRPr="00A73E47">
        <w:t>Capacity</w:t>
      </w:r>
      <w:bookmarkEnd w:id="12"/>
    </w:p>
    <w:p w14:paraId="0440D423" w14:textId="29FBF3D8" w:rsidR="000272B0" w:rsidRDefault="000272B0" w:rsidP="00A75C7F">
      <w:pPr>
        <w:pStyle w:val="Heading3"/>
        <w:ind w:left="1080"/>
      </w:pPr>
      <w:r w:rsidRPr="00A73E47">
        <w:t xml:space="preserve"> </w:t>
      </w:r>
    </w:p>
    <w:p w14:paraId="46170686" w14:textId="77777777" w:rsidR="000272B0" w:rsidRDefault="000272B0" w:rsidP="000272B0">
      <w:r>
        <w:t>The WG explored available data to add locational variation to the generation capacity value. Currently, the only public source of generation capacity price information is the annual CPUC Resource Adequacy (RA) report</w:t>
      </w:r>
      <w:r>
        <w:rPr>
          <w:rStyle w:val="FootnoteReference"/>
        </w:rPr>
        <w:footnoteReference w:id="1"/>
      </w:r>
      <w:r>
        <w:t xml:space="preserve">, which provides aggregated RA contract price information, at both the system-level and the local RA level. Although this report represents best available information, it is based on voluntary </w:t>
      </w:r>
      <w:r w:rsidRPr="00B866DB">
        <w:t xml:space="preserve">responses to a </w:t>
      </w:r>
      <w:r>
        <w:t xml:space="preserve">CPUC </w:t>
      </w:r>
      <w:r w:rsidRPr="00B866DB">
        <w:t>data request and does not necessarily capture the entirety of RA contracts</w:t>
      </w:r>
      <w:r>
        <w:t xml:space="preserve"> and transactions.</w:t>
      </w:r>
    </w:p>
    <w:p w14:paraId="7C622B47" w14:textId="77777777" w:rsidR="000272B0" w:rsidRDefault="000272B0" w:rsidP="000272B0">
      <w:r>
        <w:t xml:space="preserve">Local RA best represents a locational RA product, as both the requirements (based on August peak load in the LCR area) and the product are specific to a location in the system. This capacity product can come from an LSE’s generation portfolio and/or through contracts with generators to procure the RA-qualifying MW attributes of the generator. RA prices represent the short-run generation capacity avoided cost, since in the near-term, DERs increase or decrease an LSE’s RA procurement. </w:t>
      </w:r>
    </w:p>
    <w:p w14:paraId="5D233282" w14:textId="77777777" w:rsidR="000272B0" w:rsidRDefault="000272B0" w:rsidP="000272B0">
      <w:r>
        <w:t xml:space="preserve">The WG discussed that locational information applies to short-run generation capacity costs (i.e., RA prices in the CPUC RA report), but not to the long-run generation capacity avoided cost (expressed as the cost of new entry, or CONE). CONE estimates how much generation capacity would cost from a new generator by estimating the levelized annual cost of building a new generator, minus the levelized annual energy and ancillary service revenue the plant would be expected to generate. In any year, CONE represents the maximum generation capacity avoided cost. CONE cost components could be evaluated locationally to calculate location-specific variants of CONE. CONE may also be adjusted for losses from utility-scale generation capacity. </w:t>
      </w:r>
    </w:p>
    <w:p w14:paraId="2A559ED6" w14:textId="77777777" w:rsidR="000272B0" w:rsidRDefault="000272B0" w:rsidP="000272B0">
      <w:r>
        <w:t>The WG is in non-consensus with regards to a methodology to calculate location-specific avoided capacity. The Joint IOUs and SEIA have each submitted a proposed methodology.</w:t>
      </w:r>
    </w:p>
    <w:p w14:paraId="31BB4A04" w14:textId="1C2237AC" w:rsidR="000272B0" w:rsidRDefault="000272B0" w:rsidP="000272B0">
      <w:r>
        <w:t xml:space="preserve">The Joint IOUs propose to develop locational generation capacity avoided cost values at the CPUC Local RA areas, based on CAISO’s Local Capacity Requirement Area (LCR Area) level. Areas outside of a Local </w:t>
      </w:r>
      <w:r>
        <w:lastRenderedPageBreak/>
        <w:t xml:space="preserve">RA area would receive system-level generation capacity avoided cost. IOUs will use the recent, joint-IOU system-level generation capacity price forecast that was provided as a benchmark in the RPS proceeding. Locational generation capacity avoided cost values will be determined using local RA multipliers developed from the most recent data in the CPUC RA Report and applied to a system-level forecast that includes both short-run and long-run capacity value. In each year, all generation capacity prices are capped at CONE. In the year that system-level generation capacity price forecast reaches CONE, all other areas are also set at CONE. The full methodology for developing locational factors can be found in the written proposal in </w:t>
      </w:r>
      <w:r w:rsidR="00FF3F72" w:rsidRPr="00FF3F72">
        <w:t xml:space="preserve">Appendix B. </w:t>
      </w:r>
      <w:r>
        <w:t xml:space="preserve"> </w:t>
      </w:r>
    </w:p>
    <w:p w14:paraId="79133FDC" w14:textId="77777777" w:rsidR="000272B0" w:rsidRDefault="000272B0" w:rsidP="000272B0">
      <w:r>
        <w:t xml:space="preserve">It is important to note that Decision 16-06-007 in the IDER Proceeding required the use of capacity-benefits based on the long-run avoided capacity cost when doing cost-effectiveness analyses of demand-side management programs. It also prohibits the concept of resource balance year (RBY) in the Commission’s DER avoided </w:t>
      </w:r>
      <w:r w:rsidRPr="00347D45">
        <w:t>cost model. If the above proposal</w:t>
      </w:r>
      <w:r w:rsidRPr="00B866DB">
        <w:t xml:space="preserve"> is incorporated into the LNBA methodology and</w:t>
      </w:r>
      <w:r>
        <w:t xml:space="preserve"> given the Commission direction to use LNBA for evaluation of DER cost-effectiveness within the third use case, </w:t>
      </w:r>
      <w:r w:rsidRPr="00B866DB">
        <w:t>the Commission would also have to modify D.16-06-007 and potentially require additional stakeholder review in the IDER proceeding</w:t>
      </w:r>
      <w:r>
        <w:t>.</w:t>
      </w:r>
    </w:p>
    <w:p w14:paraId="7285D4E7" w14:textId="40C29414" w:rsidR="000272B0" w:rsidRDefault="000272B0" w:rsidP="000272B0">
      <w:r>
        <w:t xml:space="preserve">SEIA notes that the IOU proposal uses location-specific short-run RA values, but a system-wide resource balance year. SEIA agrees with the D. 16-06-007 conclusion to eliminate RBY because </w:t>
      </w:r>
      <w:r w:rsidRPr="003E2B90">
        <w:t>distributed energy resources are displacing new capacity rather than short-term capacity</w:t>
      </w:r>
      <w:r>
        <w:t xml:space="preserve">, and because the RBY concept fails to recognize the full value of small-increment, short-lead-time, high priority resources such as DERs. Instead, SEIA proposes to develop </w:t>
      </w:r>
      <w:r w:rsidRPr="00B866DB">
        <w:t xml:space="preserve">locational generation capacity avoided cost values </w:t>
      </w:r>
      <w:r>
        <w:t xml:space="preserve">based on the loss-adjusted Cost of New Entry (CONE) in each IOU service territory.   Loss adjustments should be based on peak period line losses in each service territory from generation level to load level. These IOU-specific CONE values would reflect locational differences due to (1) differences in peak period losses in each IOU service territory and (2) different CONE calculations given variations in CONE between service territories due to different siting costs, energy costs, environmental costs, or the base cost of the marginal source of capacity. </w:t>
      </w:r>
      <w:r w:rsidR="000E1EA4">
        <w:t xml:space="preserve">SEIA states that this </w:t>
      </w:r>
      <w:r>
        <w:t>would be consistent with D. 16-06-007 which established the CONE as the avoided generation capacity cost for DERs, without the use of a Resource Balance Year (RBY) to transition from short-run to long-run avoided capacity costs that accurately value distributed energy resources.</w:t>
      </w:r>
      <w:r w:rsidRPr="00B866DB" w:rsidDel="009C1127">
        <w:t xml:space="preserve"> </w:t>
      </w:r>
    </w:p>
    <w:p w14:paraId="6DBC1AF7" w14:textId="77777777" w:rsidR="00BD1005" w:rsidRDefault="00BD1005" w:rsidP="00BD1005">
      <w:r>
        <w:t>In determining next steps, it would be helpful for the Commission to further explore:</w:t>
      </w:r>
    </w:p>
    <w:p w14:paraId="64636167" w14:textId="116BC99A" w:rsidR="00BD1005" w:rsidRDefault="00BD1005" w:rsidP="00BD1005">
      <w:pPr>
        <w:pStyle w:val="ListParagraph"/>
        <w:numPr>
          <w:ilvl w:val="0"/>
          <w:numId w:val="1"/>
        </w:numPr>
      </w:pPr>
      <w:r>
        <w:t>For each proposal, does the proposed method reasonably reflect locational differentiation of avoided capacity cost?</w:t>
      </w:r>
      <w:r w:rsidR="005C0257">
        <w:t xml:space="preserve"> Does it accurately reflect DERs’ ability to avoid costs?</w:t>
      </w:r>
      <w:r>
        <w:t xml:space="preserve"> Is implementation feasible? </w:t>
      </w:r>
    </w:p>
    <w:p w14:paraId="539C8701" w14:textId="77777777" w:rsidR="00BD1005" w:rsidRDefault="00BD1005" w:rsidP="00BD1005">
      <w:pPr>
        <w:pStyle w:val="ListParagraph"/>
        <w:numPr>
          <w:ilvl w:val="0"/>
          <w:numId w:val="1"/>
        </w:numPr>
      </w:pPr>
      <w:r>
        <w:t xml:space="preserve">Is each proposal consistent with prior Commission directive, including </w:t>
      </w:r>
      <w:r w:rsidRPr="00B866DB">
        <w:t>D.16-06-007</w:t>
      </w:r>
      <w:r>
        <w:t xml:space="preserve"> in the IDER proceeding?</w:t>
      </w:r>
    </w:p>
    <w:p w14:paraId="33EB878E" w14:textId="77777777" w:rsidR="00BD1005" w:rsidRDefault="00BD1005" w:rsidP="000272B0">
      <w:pPr>
        <w:pStyle w:val="Heading3"/>
      </w:pPr>
    </w:p>
    <w:p w14:paraId="13459709" w14:textId="4DAF107A" w:rsidR="000272B0" w:rsidRDefault="000272B0" w:rsidP="00A75C7F">
      <w:pPr>
        <w:pStyle w:val="Heading3"/>
        <w:numPr>
          <w:ilvl w:val="2"/>
          <w:numId w:val="2"/>
        </w:numPr>
      </w:pPr>
      <w:bookmarkStart w:id="13" w:name="_Toc500517292"/>
      <w:r w:rsidRPr="00A73E47">
        <w:t>Line Losses</w:t>
      </w:r>
      <w:bookmarkEnd w:id="13"/>
    </w:p>
    <w:p w14:paraId="60EBB5EC" w14:textId="77777777" w:rsidR="00A75C7F" w:rsidRPr="00A75C7F" w:rsidRDefault="00A75C7F" w:rsidP="00A75C7F">
      <w:pPr>
        <w:pStyle w:val="ListParagraph"/>
        <w:ind w:left="1080"/>
      </w:pPr>
    </w:p>
    <w:p w14:paraId="6FBFE425" w14:textId="77777777" w:rsidR="000272B0" w:rsidRDefault="000272B0" w:rsidP="000272B0">
      <w:r>
        <w:t xml:space="preserve">Within Demo B, the LNBA tool calculates IOU system-wide average loss factors for distribution and transmission. The loss factors were used to estimate the additional avoided energy costs, avoided </w:t>
      </w:r>
      <w:r>
        <w:lastRenderedPageBreak/>
        <w:t>generation costs, and avoided capacity needs at peak realized by a DER in reducing line losses. The LNBA WG expressed that using a system-average loss value did not account for DERs’ ability to produce location-specific line loss reduction, and recommended exploring the issue in greater to detail to determine whether the additional granularity may be worth pursuing.</w:t>
      </w:r>
    </w:p>
    <w:p w14:paraId="2FA06244" w14:textId="227B965B" w:rsidR="000272B0" w:rsidRDefault="000272B0" w:rsidP="000272B0">
      <w:r>
        <w:t>Over the long-term refinement period, the IOUs conducted additional line loss studies to increase understanding of how DER location may vary line losses across distribution feeders and the impact on secondary system losses. The purpose of these studies was to determine how loss factors may be included in the LNBA and whether a more granular, location-specific methodology is feasible.</w:t>
      </w:r>
    </w:p>
    <w:p w14:paraId="36E6AA3D" w14:textId="77777777" w:rsidR="000272B0" w:rsidRDefault="000272B0" w:rsidP="000272B0">
      <w:r>
        <w:t>The IOUs each conducted further study using the following steps:</w:t>
      </w:r>
    </w:p>
    <w:p w14:paraId="4A1DB057" w14:textId="77777777" w:rsidR="000272B0" w:rsidRDefault="000272B0" w:rsidP="000272B0">
      <w:pPr>
        <w:numPr>
          <w:ilvl w:val="0"/>
          <w:numId w:val="8"/>
        </w:numPr>
        <w:spacing w:after="0" w:line="240" w:lineRule="auto"/>
      </w:pPr>
      <w:r>
        <w:t>Select a sample size of distribution feeders to evaluate in preliminary study</w:t>
      </w:r>
    </w:p>
    <w:p w14:paraId="7002CCB3" w14:textId="77777777" w:rsidR="000272B0" w:rsidRDefault="000272B0" w:rsidP="000272B0">
      <w:pPr>
        <w:numPr>
          <w:ilvl w:val="0"/>
          <w:numId w:val="8"/>
        </w:numPr>
        <w:spacing w:after="0" w:line="240" w:lineRule="auto"/>
      </w:pPr>
      <w:r>
        <w:t>Define circuit types to reflect differing characteristics</w:t>
      </w:r>
    </w:p>
    <w:p w14:paraId="3673D9BA" w14:textId="77777777" w:rsidR="000272B0" w:rsidRDefault="000272B0" w:rsidP="000272B0">
      <w:pPr>
        <w:numPr>
          <w:ilvl w:val="1"/>
          <w:numId w:val="8"/>
        </w:numPr>
        <w:spacing w:after="0" w:line="256" w:lineRule="auto"/>
      </w:pPr>
      <w:r>
        <w:t>i.e. Rural large service area, urban small service territory, and suburban medium size territory</w:t>
      </w:r>
    </w:p>
    <w:p w14:paraId="1574813A" w14:textId="77777777" w:rsidR="000272B0" w:rsidRDefault="000272B0" w:rsidP="000272B0">
      <w:pPr>
        <w:numPr>
          <w:ilvl w:val="1"/>
          <w:numId w:val="8"/>
        </w:numPr>
        <w:spacing w:after="0" w:line="256" w:lineRule="auto"/>
      </w:pPr>
      <w:r>
        <w:t xml:space="preserve">Uniform loading, spot load, express run circuit </w:t>
      </w:r>
    </w:p>
    <w:p w14:paraId="318E3A94" w14:textId="77777777" w:rsidR="000272B0" w:rsidRDefault="000272B0" w:rsidP="000272B0">
      <w:pPr>
        <w:numPr>
          <w:ilvl w:val="1"/>
          <w:numId w:val="8"/>
        </w:numPr>
        <w:spacing w:after="0" w:line="256" w:lineRule="auto"/>
      </w:pPr>
      <w:r>
        <w:t xml:space="preserve">High % loaded circuit, medium %. Low % </w:t>
      </w:r>
    </w:p>
    <w:p w14:paraId="386A158F" w14:textId="77777777" w:rsidR="000272B0" w:rsidRDefault="000272B0" w:rsidP="000272B0">
      <w:pPr>
        <w:numPr>
          <w:ilvl w:val="0"/>
          <w:numId w:val="8"/>
        </w:numPr>
        <w:spacing w:after="0" w:line="256" w:lineRule="auto"/>
      </w:pPr>
      <w:r>
        <w:t xml:space="preserve">Evaluate base circuit model for maximum, minimum, and median loading levels to see the baseline %/kW losses on each circuit </w:t>
      </w:r>
    </w:p>
    <w:p w14:paraId="58C9E7F6" w14:textId="77777777" w:rsidR="000272B0" w:rsidRDefault="000272B0" w:rsidP="000272B0">
      <w:pPr>
        <w:numPr>
          <w:ilvl w:val="0"/>
          <w:numId w:val="8"/>
        </w:numPr>
        <w:spacing w:after="0" w:line="256" w:lineRule="auto"/>
      </w:pPr>
      <w:r>
        <w:t>Model generation on baseline conditions created in #2</w:t>
      </w:r>
    </w:p>
    <w:p w14:paraId="54D4C07A" w14:textId="77777777" w:rsidR="000272B0" w:rsidRDefault="000272B0" w:rsidP="000272B0">
      <w:pPr>
        <w:numPr>
          <w:ilvl w:val="0"/>
          <w:numId w:val="8"/>
        </w:numPr>
        <w:spacing w:after="0" w:line="256" w:lineRule="auto"/>
      </w:pPr>
      <w:r>
        <w:t>Record the kW losses from baseline condition determined from #2</w:t>
      </w:r>
    </w:p>
    <w:p w14:paraId="00E8E8AF" w14:textId="77777777" w:rsidR="000272B0" w:rsidRDefault="000272B0" w:rsidP="000272B0">
      <w:pPr>
        <w:numPr>
          <w:ilvl w:val="0"/>
          <w:numId w:val="8"/>
        </w:numPr>
        <w:spacing w:after="0" w:line="256" w:lineRule="auto"/>
      </w:pPr>
      <w:r>
        <w:t>Calculate maximum losses % change and min loss %</w:t>
      </w:r>
    </w:p>
    <w:p w14:paraId="02332552" w14:textId="77777777" w:rsidR="000272B0" w:rsidRDefault="000272B0" w:rsidP="000272B0">
      <w:pPr>
        <w:numPr>
          <w:ilvl w:val="0"/>
          <w:numId w:val="8"/>
        </w:numPr>
        <w:spacing w:after="0" w:line="256" w:lineRule="auto"/>
      </w:pPr>
      <w:r>
        <w:t>Use line loss study results to estimate sensitivity on LNBA results</w:t>
      </w:r>
    </w:p>
    <w:p w14:paraId="7F2B608D" w14:textId="77777777" w:rsidR="000272B0" w:rsidRDefault="000272B0" w:rsidP="000272B0">
      <w:pPr>
        <w:numPr>
          <w:ilvl w:val="0"/>
          <w:numId w:val="8"/>
        </w:numPr>
        <w:spacing w:after="0" w:line="256" w:lineRule="auto"/>
      </w:pPr>
      <w:r>
        <w:t>Perform similar study for secondary network scaling generation and load</w:t>
      </w:r>
    </w:p>
    <w:p w14:paraId="3E23FB8B" w14:textId="77777777" w:rsidR="000272B0" w:rsidRDefault="000272B0" w:rsidP="000272B0">
      <w:pPr>
        <w:spacing w:after="0" w:line="256" w:lineRule="auto"/>
        <w:ind w:left="720"/>
      </w:pPr>
    </w:p>
    <w:p w14:paraId="0575C776" w14:textId="4755983A" w:rsidR="000272B0" w:rsidRDefault="000272B0" w:rsidP="000272B0">
      <w:r>
        <w:t xml:space="preserve">Some of the results of those studies are shared in the IOUs’ full written proposals, found in </w:t>
      </w:r>
      <w:r w:rsidRPr="006C7984">
        <w:t xml:space="preserve">Appendix </w:t>
      </w:r>
      <w:r w:rsidR="006C7984" w:rsidRPr="006C7984">
        <w:t xml:space="preserve">B. </w:t>
      </w:r>
    </w:p>
    <w:p w14:paraId="1271A3AE" w14:textId="0490D419" w:rsidR="000272B0" w:rsidRDefault="000272B0" w:rsidP="000272B0">
      <w:r>
        <w:t xml:space="preserve">SCE’s study was based on 15 representative circuits, with a 1 MW generator modeled at each 10% impedance of the circuit from the substation. Observations were based on 4 kV lines versus 12/16 kV lines. SDG&amp;E’s study used similar parameters. PG&amp;E additionally modeled the three phase system, to better incorporate the relatively diverse nature of PG&amp;E’s urban and rural regions into the </w:t>
      </w:r>
      <w:r w:rsidR="00577521">
        <w:t>study</w:t>
      </w:r>
      <w:r>
        <w:t xml:space="preserve">.  </w:t>
      </w:r>
    </w:p>
    <w:p w14:paraId="2CA10B53" w14:textId="77777777" w:rsidR="000272B0" w:rsidRDefault="000272B0" w:rsidP="000272B0">
      <w:r>
        <w:t>The joint IOUs presented the following overall conclusions from the additional study:</w:t>
      </w:r>
    </w:p>
    <w:p w14:paraId="393C4313" w14:textId="77777777" w:rsidR="000272B0" w:rsidRDefault="000272B0" w:rsidP="000272B0">
      <w:pPr>
        <w:pStyle w:val="ListParagraph"/>
        <w:numPr>
          <w:ilvl w:val="0"/>
          <w:numId w:val="9"/>
        </w:numPr>
        <w:spacing w:after="0" w:line="256" w:lineRule="auto"/>
      </w:pPr>
      <w:r>
        <w:t>For 4 kV distribution lines, the amount of line losses was not significantly reduced when simulating a 1 MW generator at various locations.</w:t>
      </w:r>
    </w:p>
    <w:p w14:paraId="57E5F429" w14:textId="77777777" w:rsidR="000272B0" w:rsidRDefault="000272B0" w:rsidP="000272B0">
      <w:pPr>
        <w:pStyle w:val="ListParagraph"/>
        <w:numPr>
          <w:ilvl w:val="0"/>
          <w:numId w:val="9"/>
        </w:numPr>
        <w:spacing w:line="256" w:lineRule="auto"/>
      </w:pPr>
      <w:r>
        <w:t>Adding 1 MW generator on 4kV circuit typically resulted in reverse power flow and increased line losses.</w:t>
      </w:r>
    </w:p>
    <w:p w14:paraId="2BD4B4F1" w14:textId="77777777" w:rsidR="000272B0" w:rsidRDefault="000272B0" w:rsidP="000272B0">
      <w:pPr>
        <w:pStyle w:val="ListParagraph"/>
        <w:numPr>
          <w:ilvl w:val="0"/>
          <w:numId w:val="9"/>
        </w:numPr>
        <w:spacing w:after="0" w:line="256" w:lineRule="auto"/>
      </w:pPr>
      <w:r>
        <w:t xml:space="preserve">When DER generators cause reverse power flow through the distribution service transformer or the substation transformer, the total distribution line loss benefit decreases, can reach zero, or negatively impact losses if DER generation exceeds the loading on the circuit it’s interconnected. </w:t>
      </w:r>
    </w:p>
    <w:p w14:paraId="1A2E588C" w14:textId="77777777" w:rsidR="000272B0" w:rsidRDefault="000272B0" w:rsidP="000272B0">
      <w:pPr>
        <w:pStyle w:val="ListParagraph"/>
        <w:numPr>
          <w:ilvl w:val="0"/>
          <w:numId w:val="9"/>
        </w:numPr>
        <w:spacing w:after="0" w:line="256" w:lineRule="auto"/>
      </w:pPr>
      <w:r>
        <w:t xml:space="preserve">Rural feeders tend to be longer and higher impedance, and have more locations with high peak losses as well as overall variance in line losses to feed each line section. </w:t>
      </w:r>
    </w:p>
    <w:p w14:paraId="5337298B" w14:textId="77777777" w:rsidR="000272B0" w:rsidRDefault="000272B0" w:rsidP="000272B0">
      <w:pPr>
        <w:pStyle w:val="ListParagraph"/>
        <w:numPr>
          <w:ilvl w:val="0"/>
          <w:numId w:val="9"/>
        </w:numPr>
        <w:spacing w:after="0" w:line="256" w:lineRule="auto"/>
      </w:pPr>
      <w:r>
        <w:t xml:space="preserve">Back-feeding does cause losses to increase in certain locations on the primary distribution </w:t>
      </w:r>
    </w:p>
    <w:p w14:paraId="7F07A1E9" w14:textId="61C4BA97" w:rsidR="000272B0" w:rsidRDefault="000272B0" w:rsidP="00A574EF">
      <w:pPr>
        <w:pStyle w:val="ListParagraph"/>
        <w:spacing w:after="0" w:line="256" w:lineRule="auto"/>
      </w:pPr>
      <w:r>
        <w:t>feeder.</w:t>
      </w:r>
    </w:p>
    <w:p w14:paraId="62DB6A8B" w14:textId="77777777" w:rsidR="000272B0" w:rsidRDefault="000272B0" w:rsidP="000272B0">
      <w:pPr>
        <w:pStyle w:val="ListParagraph"/>
        <w:numPr>
          <w:ilvl w:val="0"/>
          <w:numId w:val="9"/>
        </w:numPr>
        <w:spacing w:after="0" w:line="256" w:lineRule="auto"/>
      </w:pPr>
      <w:r>
        <w:lastRenderedPageBreak/>
        <w:t xml:space="preserve">Urban feeders are typically stout, low impedance, short length, and have low losses so they are not highly location sensitive. </w:t>
      </w:r>
    </w:p>
    <w:p w14:paraId="16933CED" w14:textId="77777777" w:rsidR="000272B0" w:rsidRDefault="000272B0" w:rsidP="000272B0">
      <w:pPr>
        <w:pStyle w:val="ListParagraph"/>
        <w:numPr>
          <w:ilvl w:val="0"/>
          <w:numId w:val="9"/>
        </w:numPr>
        <w:spacing w:after="0" w:line="256" w:lineRule="auto"/>
      </w:pPr>
      <w:r>
        <w:t>Losses on the secondary network are mainly derived from net transformer loading and will be minimal when generation is coincident and sized to match load (i.e. load is fed from generation locally).</w:t>
      </w:r>
    </w:p>
    <w:p w14:paraId="73607C5F" w14:textId="77777777" w:rsidR="00A574EF" w:rsidRDefault="00A574EF" w:rsidP="000272B0"/>
    <w:p w14:paraId="29950F30" w14:textId="3EAFA52D" w:rsidR="000272B0" w:rsidRDefault="000272B0" w:rsidP="000272B0">
      <w:r>
        <w:t xml:space="preserve">The </w:t>
      </w:r>
      <w:commentRangeStart w:id="14"/>
      <w:r>
        <w:t xml:space="preserve">LNBA WG recommends </w:t>
      </w:r>
      <w:commentRangeEnd w:id="14"/>
      <w:r>
        <w:rPr>
          <w:rStyle w:val="CommentReference"/>
        </w:rPr>
        <w:commentReference w:id="14"/>
      </w:r>
      <w:r>
        <w:t xml:space="preserve">that, for the deferral framework and heat map use case, the LNBA tool should incorporate more locational differentiation of losses within the LNBA tool. For the cost-effectiveness/DERAC use case, the WG does acknowledge that there is variability not currently captured in DERAC, but for now the methodology should stay the same, and later incorporate additional public loss factors corresponding to additional granularity, as the DERAC becomes more granular. </w:t>
      </w:r>
    </w:p>
    <w:p w14:paraId="4D3F1ED5" w14:textId="0641888D" w:rsidR="000272B0" w:rsidRDefault="000272B0" w:rsidP="000272B0">
      <w:r>
        <w:t>For the deferral framework use case, it is apparent that variation in line losses can be significant, particularly for more “outlier” locations. Thus, a project-specific loss factor for distribution deferral will be calculated. The means of evaluation will depend on the number of deferral opportunities and associated number of circuits that pass through the to-be-defined deferral screens in Track 3 of the DRP Proceeding (for example, detailed modeling may be feasible for This change will be implemented in the 2018 heat map and public tool.</w:t>
      </w:r>
    </w:p>
    <w:p w14:paraId="1B202E8A" w14:textId="77777777" w:rsidR="000272B0" w:rsidRPr="0027047C" w:rsidRDefault="000272B0" w:rsidP="000272B0"/>
    <w:p w14:paraId="3D87DEC3" w14:textId="57E4617B" w:rsidR="00730E10" w:rsidRDefault="00730E10" w:rsidP="00A75C7F">
      <w:pPr>
        <w:pStyle w:val="Heading2"/>
        <w:numPr>
          <w:ilvl w:val="1"/>
          <w:numId w:val="2"/>
        </w:numPr>
      </w:pPr>
      <w:bookmarkStart w:id="15" w:name="_Toc500517293"/>
      <w:r>
        <w:t>Location-specific grid services for smart inverters</w:t>
      </w:r>
      <w:r w:rsidR="00A75C7F">
        <w:t xml:space="preserve"> – incorporating reactive power support</w:t>
      </w:r>
      <w:r w:rsidR="00931A6C">
        <w:t xml:space="preserve"> (VAR profiles)</w:t>
      </w:r>
      <w:bookmarkEnd w:id="15"/>
    </w:p>
    <w:p w14:paraId="5D260E1D" w14:textId="77777777" w:rsidR="00A75C7F" w:rsidRPr="00A75C7F" w:rsidRDefault="00A75C7F" w:rsidP="00A75C7F">
      <w:pPr>
        <w:pStyle w:val="ListParagraph"/>
        <w:ind w:left="750"/>
      </w:pPr>
    </w:p>
    <w:p w14:paraId="2079C32C" w14:textId="0E6647E1" w:rsidR="000C7A56" w:rsidRDefault="00556C0F">
      <w:r>
        <w:t xml:space="preserve">The LNBA WG grouped multiple </w:t>
      </w:r>
      <w:r w:rsidR="00730E10">
        <w:t xml:space="preserve">ACR topics into the overarching “smart inverter” umbrella: 1) </w:t>
      </w:r>
      <w:r w:rsidR="00E9160B" w:rsidRPr="00730E10">
        <w:t>Methods for valuing location-specific grid services provided by advanced smart inverter capabilities</w:t>
      </w:r>
      <w:r w:rsidR="00730E10">
        <w:t xml:space="preserve"> and 2) </w:t>
      </w:r>
      <w:r w:rsidR="00730E10" w:rsidRPr="00730E10">
        <w:t>improve heat map and spreadsheet tool by allowing hourly VAR profiles to be input in order to capture DERs’ ability to</w:t>
      </w:r>
      <w:r w:rsidR="00730E10">
        <w:t xml:space="preserve"> inject</w:t>
      </w:r>
      <w:r w:rsidR="000C7A56">
        <w:t xml:space="preserve"> or absorb reactive power. </w:t>
      </w:r>
      <w:r w:rsidR="000272B0">
        <w:t xml:space="preserve">It was agreed that developing a methodology to consider VAR profiles was of higher priority. Additional smart inverter capabilities, namely, conservation voltage reduction, are discussed further in the report as a Group III topic. </w:t>
      </w:r>
    </w:p>
    <w:p w14:paraId="7A412AC6" w14:textId="398E10C9" w:rsidR="00556C0F" w:rsidRDefault="00556C0F" w:rsidP="00A75C7F">
      <w:pPr>
        <w:pStyle w:val="Heading3"/>
        <w:numPr>
          <w:ilvl w:val="2"/>
          <w:numId w:val="2"/>
        </w:numPr>
      </w:pPr>
      <w:bookmarkStart w:id="16" w:name="_Toc500517294"/>
      <w:r>
        <w:t>VAR profiles (reactive power support)</w:t>
      </w:r>
      <w:bookmarkEnd w:id="16"/>
    </w:p>
    <w:p w14:paraId="1DCC16A9" w14:textId="77777777" w:rsidR="00A75C7F" w:rsidRPr="00A75C7F" w:rsidRDefault="00A75C7F" w:rsidP="00A75C7F">
      <w:pPr>
        <w:ind w:left="360"/>
      </w:pPr>
    </w:p>
    <w:p w14:paraId="3112EC2F" w14:textId="77777777" w:rsidR="00E9160B" w:rsidRDefault="000C7A56">
      <w:r>
        <w:t xml:space="preserve">Voltage support is generally provided using capacitors or voltage regulators to maintain voltage within Rule 2 requirements. To defer a voltage investment </w:t>
      </w:r>
      <w:r w:rsidR="00C00264">
        <w:t xml:space="preserve">using DER, the DER must either manage real power (e.g., using energy efficiency to help boost voltage) or use smart inverters to provide both real and reactive power support. </w:t>
      </w:r>
      <w:r>
        <w:t xml:space="preserve">DER reactive power (VAR) capabilities are provided by smart inverters. </w:t>
      </w:r>
    </w:p>
    <w:p w14:paraId="3DFBA376" w14:textId="10AC592D" w:rsidR="00C00264" w:rsidRDefault="00C00264">
      <w:r>
        <w:t>The IOUs need to develop a methodology for calculating the hourly VAR requirement profile. This is dependent on both the IOUs’ development of necessary tools and the Rule 21 requirements currently being considered. Rule 21 rules will develop reactive power requirements and power factor limits, which are required for the development of VAR profiles</w:t>
      </w:r>
      <w:r w:rsidR="005C0257">
        <w:t>, and are expected to be finalized soon</w:t>
      </w:r>
      <w:r>
        <w:t>. The IOUs are additionally leveraging their work in ICA to develop the necessary tools to calculate hourly VAR requirement profiles.</w:t>
      </w:r>
    </w:p>
    <w:p w14:paraId="79BABE48" w14:textId="04545BAC" w:rsidR="00C00264" w:rsidRDefault="00C00264">
      <w:r>
        <w:lastRenderedPageBreak/>
        <w:t xml:space="preserve">The LNBA WG also agreed that the LNBA tool should be modified to accept a DER VAR profile and a VAR Requirements profile. </w:t>
      </w:r>
      <w:r w:rsidR="003B0159">
        <w:t xml:space="preserve">The IOUs will add an hourly VAR profile and current hourly active </w:t>
      </w:r>
      <w:r w:rsidR="00556C0F">
        <w:t>power (kW) under the User Input f</w:t>
      </w:r>
      <w:r w:rsidR="00294CE0">
        <w:t xml:space="preserve"> </w:t>
      </w:r>
      <w:r w:rsidR="00556C0F">
        <w:t xml:space="preserve">or DER Hourly Shape tab. The IOUs will also modify the tool to accept a VAR requirements profile, and validate that the DER Var profile input meets or exceeds this requirements profile. </w:t>
      </w:r>
    </w:p>
    <w:p w14:paraId="4D802493" w14:textId="333FEC70" w:rsidR="00A75C7F" w:rsidRPr="00A75C7F" w:rsidRDefault="00E26FE8" w:rsidP="00931A6C">
      <w:pPr>
        <w:pStyle w:val="Heading2"/>
        <w:numPr>
          <w:ilvl w:val="1"/>
          <w:numId w:val="2"/>
        </w:numPr>
      </w:pPr>
      <w:bookmarkStart w:id="17" w:name="_Toc500517295"/>
      <w:r>
        <w:t>Automatically populate DER generation profiles</w:t>
      </w:r>
      <w:bookmarkEnd w:id="17"/>
    </w:p>
    <w:p w14:paraId="06AED07C" w14:textId="4FD1766D" w:rsidR="00E26FE8" w:rsidRDefault="00E26FE8" w:rsidP="00E26FE8">
      <w:r>
        <w:t xml:space="preserve">The WG agreed that sample DER hourly profiles should be included within the LNBA tool within a DER Profile Library. These profiles would be illustrative only. The tool should also allow profiles to be automatically populated. </w:t>
      </w:r>
    </w:p>
    <w:p w14:paraId="31B9063F" w14:textId="68EB20DC" w:rsidR="008F2ADE" w:rsidRDefault="008F2ADE" w:rsidP="00E26FE8">
      <w:r>
        <w:t xml:space="preserve">The WG agreed that profiles should use public sources of information, be normalized to 1 kW, and be scalable by user input of size. Additional profiles can be added to the DER Profile Library to include emerging technologies or meet additional DER use cases. The WG agrees that additional DER profiles should be based on public sources, vetted, and readily available. </w:t>
      </w:r>
    </w:p>
    <w:p w14:paraId="3FEDDA1D" w14:textId="2EB95183" w:rsidR="008F2ADE" w:rsidRDefault="008F2ADE" w:rsidP="00E26FE8">
      <w:r>
        <w:t>The WG agrees to include the following profiles immediately:</w:t>
      </w:r>
    </w:p>
    <w:p w14:paraId="1678DC38" w14:textId="251076EC" w:rsidR="008F2ADE" w:rsidRPr="008F2ADE" w:rsidRDefault="008F2ADE" w:rsidP="008F2ADE">
      <w:pPr>
        <w:pStyle w:val="ListParagraph"/>
        <w:numPr>
          <w:ilvl w:val="0"/>
          <w:numId w:val="10"/>
        </w:numPr>
        <w:spacing w:after="0" w:line="240" w:lineRule="auto"/>
        <w:rPr>
          <w:rFonts w:ascii="Times New Roman" w:hAnsi="Times New Roman" w:cs="Times New Roman"/>
          <w:sz w:val="24"/>
          <w:szCs w:val="24"/>
        </w:rPr>
      </w:pPr>
      <w:r>
        <w:t>Solar PV: The WG agrees that the National Renewable Energy Laboratory’s (NREL) PVWatts Calculator</w:t>
      </w:r>
      <w:r w:rsidRPr="008F2ADE">
        <w:rPr>
          <w:rStyle w:val="FootnoteTextChar"/>
        </w:rPr>
        <w:t xml:space="preserve"> </w:t>
      </w:r>
      <w:r>
        <w:rPr>
          <w:rStyle w:val="FootnoteReference"/>
        </w:rPr>
        <w:footnoteReference w:id="2"/>
      </w:r>
      <w:r w:rsidRPr="008F2ADE">
        <w:rPr>
          <w:rFonts w:ascii="Times New Roman" w:hAnsi="Times New Roman" w:cs="Times New Roman"/>
          <w:sz w:val="24"/>
          <w:szCs w:val="24"/>
        </w:rPr>
        <w:t xml:space="preserve"> </w:t>
      </w:r>
      <w:r>
        <w:t xml:space="preserve"> is an appropriate source of solar PV profiles. This calculator allows users to input a location, select appropriate weather data, and provide PV system properties (e.g., size, tile, DC/AC ratio). For the automatically generated profile within the LNBA tool</w:t>
      </w:r>
      <w:commentRangeStart w:id="18"/>
      <w:r>
        <w:t xml:space="preserve">, </w:t>
      </w:r>
      <w:r w:rsidRPr="008F2ADE">
        <w:rPr>
          <w:highlight w:val="yellow"/>
        </w:rPr>
        <w:t>the WG agrees to default the following inputs: LOCATION, WEATHER, PV SYSTEM PROPERTIES</w:t>
      </w:r>
      <w:r w:rsidR="00D9454B">
        <w:rPr>
          <w:highlight w:val="yellow"/>
        </w:rPr>
        <w:t xml:space="preserve"> to represent a typical solar installation</w:t>
      </w:r>
      <w:r w:rsidRPr="008F2ADE">
        <w:rPr>
          <w:highlight w:val="yellow"/>
        </w:rPr>
        <w:t>.</w:t>
      </w:r>
      <w:r>
        <w:t xml:space="preserve"> </w:t>
      </w:r>
      <w:commentRangeEnd w:id="18"/>
      <w:r>
        <w:rPr>
          <w:rStyle w:val="CommentReference"/>
        </w:rPr>
        <w:commentReference w:id="18"/>
      </w:r>
    </w:p>
    <w:p w14:paraId="3C0E9D48" w14:textId="4E99A421" w:rsidR="008F2ADE" w:rsidRPr="008F2ADE" w:rsidRDefault="008F2ADE" w:rsidP="008F2ADE">
      <w:pPr>
        <w:pStyle w:val="ListParagraph"/>
        <w:numPr>
          <w:ilvl w:val="0"/>
          <w:numId w:val="10"/>
        </w:numPr>
        <w:spacing w:after="0" w:line="240" w:lineRule="auto"/>
        <w:rPr>
          <w:rFonts w:ascii="Times New Roman" w:hAnsi="Times New Roman" w:cs="Times New Roman"/>
          <w:sz w:val="24"/>
          <w:szCs w:val="24"/>
        </w:rPr>
      </w:pPr>
      <w:r>
        <w:t>Energy efficiency: The WG agrees that Energy and Environmental Economics’ (E3) 2013-2014 Energy Efficiency Calculator</w:t>
      </w:r>
      <w:r w:rsidRPr="008F2ADE">
        <w:rPr>
          <w:rStyle w:val="FootnoteTextChar"/>
        </w:rPr>
        <w:t xml:space="preserve"> </w:t>
      </w:r>
      <w:r>
        <w:rPr>
          <w:rStyle w:val="FootnoteReference"/>
        </w:rPr>
        <w:footnoteReference w:id="3"/>
      </w:r>
      <w:r w:rsidRPr="008F2ADE">
        <w:rPr>
          <w:rFonts w:cstheme="minorHAnsi"/>
        </w:rPr>
        <w:t xml:space="preserve"> is an appropriate source for energy efficiency profiles. These hourly profiles represent the latest hourly profiles from the Database for Energy Efficient resources (DEER)</w:t>
      </w:r>
      <w:r w:rsidRPr="008F2ADE">
        <w:rPr>
          <w:rStyle w:val="FootnoteTextChar"/>
        </w:rPr>
        <w:t xml:space="preserve"> </w:t>
      </w:r>
      <w:r>
        <w:rPr>
          <w:rStyle w:val="FootnoteReference"/>
        </w:rPr>
        <w:footnoteReference w:id="4"/>
      </w:r>
      <w:r>
        <w:rPr>
          <w:rStyle w:val="FootnoteTextChar"/>
        </w:rPr>
        <w:t>, a CPUC database containing information on energy efficient technologies and measures relevant to California</w:t>
      </w:r>
      <w:r>
        <w:t>. The WG (</w:t>
      </w:r>
      <w:commentRangeStart w:id="19"/>
      <w:r w:rsidRPr="00D9454B">
        <w:rPr>
          <w:highlight w:val="yellow"/>
        </w:rPr>
        <w:t xml:space="preserve">agrees to include the following </w:t>
      </w:r>
      <w:r w:rsidR="00D9454B" w:rsidRPr="00D9454B">
        <w:rPr>
          <w:highlight w:val="yellow"/>
        </w:rPr>
        <w:t>EE measures or technologies within the DER Profile Library).</w:t>
      </w:r>
      <w:r w:rsidR="00D9454B">
        <w:t xml:space="preserve"> </w:t>
      </w:r>
      <w:commentRangeEnd w:id="19"/>
      <w:r w:rsidR="00D9454B">
        <w:rPr>
          <w:rStyle w:val="CommentReference"/>
        </w:rPr>
        <w:commentReference w:id="19"/>
      </w:r>
    </w:p>
    <w:p w14:paraId="5155C048" w14:textId="78819632" w:rsidR="008F2ADE" w:rsidRPr="008F2ADE" w:rsidRDefault="008F2ADE" w:rsidP="008F2ADE">
      <w:pPr>
        <w:spacing w:after="0" w:line="240" w:lineRule="auto"/>
        <w:rPr>
          <w:rFonts w:ascii="Times New Roman" w:hAnsi="Times New Roman" w:cs="Times New Roman"/>
          <w:sz w:val="24"/>
          <w:szCs w:val="24"/>
        </w:rPr>
      </w:pPr>
    </w:p>
    <w:p w14:paraId="1ADAB025" w14:textId="5BB7D8D7" w:rsidR="008F2ADE" w:rsidRPr="00E26FE8" w:rsidRDefault="008F2ADE" w:rsidP="008F2ADE">
      <w:pPr>
        <w:pStyle w:val="ListParagraph"/>
      </w:pPr>
    </w:p>
    <w:p w14:paraId="4B5ABF40" w14:textId="61C58264" w:rsidR="00E9160B" w:rsidRDefault="00E9160B" w:rsidP="00A75C7F">
      <w:pPr>
        <w:pStyle w:val="Heading2"/>
        <w:numPr>
          <w:ilvl w:val="1"/>
          <w:numId w:val="2"/>
        </w:numPr>
      </w:pPr>
      <w:bookmarkStart w:id="20" w:name="_Toc500517296"/>
      <w:r w:rsidRPr="00AA07A0">
        <w:t>Enabling modeling of a portfolio of DER projects at numerous nodes to respond to a single grid need/method for evaluating the effect on avoided cost of DERs working “in concert” in the same electrical footprint of a substation</w:t>
      </w:r>
      <w:bookmarkEnd w:id="20"/>
    </w:p>
    <w:p w14:paraId="79DC4A07" w14:textId="0CE21FC2" w:rsidR="0027047C" w:rsidRDefault="0027047C" w:rsidP="00AA07A0">
      <w:pPr>
        <w:rPr>
          <w:b/>
        </w:rPr>
      </w:pPr>
    </w:p>
    <w:p w14:paraId="59E91F81" w14:textId="0EF4D754" w:rsidR="00FF304C" w:rsidRDefault="00FF304C" w:rsidP="00AA07A0">
      <w:r>
        <w:t>The WG agreed that the LNBA tool should be refined to support benefit analysis of a portfolio of projects at numerous nodes. The WG agrees that the following proposed modifications to the LNBA tool will provide for this analysis:</w:t>
      </w:r>
    </w:p>
    <w:p w14:paraId="61F56AC2" w14:textId="5331438F" w:rsidR="00FF304C" w:rsidRDefault="0051074E" w:rsidP="00FF304C">
      <w:pPr>
        <w:pStyle w:val="ListParagraph"/>
        <w:numPr>
          <w:ilvl w:val="0"/>
          <w:numId w:val="1"/>
        </w:numPr>
      </w:pPr>
      <w:r>
        <w:lastRenderedPageBreak/>
        <w:t>To input DER portfolios, IOUs will m</w:t>
      </w:r>
      <w:r w:rsidR="00FF304C">
        <w:t>odify the “User Input DER Profile” section on the DER Dashboard tab</w:t>
      </w:r>
      <w:r>
        <w:t xml:space="preserve"> by addition multiple columns</w:t>
      </w:r>
      <w:r w:rsidR="00FF304C">
        <w:t xml:space="preserve"> to allow additional user input of DER profiles and locations. This allows the tool to consider multiple DERs of different types and locations in aggregate. </w:t>
      </w:r>
    </w:p>
    <w:p w14:paraId="24FF9425" w14:textId="7FFAB3D2" w:rsidR="00FF304C" w:rsidRDefault="0051074E" w:rsidP="00FF304C">
      <w:pPr>
        <w:pStyle w:val="ListParagraph"/>
        <w:numPr>
          <w:ilvl w:val="0"/>
          <w:numId w:val="1"/>
        </w:numPr>
      </w:pPr>
      <w:r>
        <w:t>For each new column, the IOUs will create user dropdowns to allow users to select a predefined 8760 hourly profile from a DER profile library to populate the column, so that using the tool will not require manual input. The profile will be normalized to 1 kW</w:t>
      </w:r>
      <w:r w:rsidR="008F2ADE">
        <w:t xml:space="preserve"> (see above discussion on “automatically populate DER generation profiles”). </w:t>
      </w:r>
    </w:p>
    <w:p w14:paraId="0160789E" w14:textId="77777777" w:rsidR="0051074E" w:rsidRDefault="0051074E" w:rsidP="00FF304C">
      <w:pPr>
        <w:pStyle w:val="ListParagraph"/>
        <w:numPr>
          <w:ilvl w:val="0"/>
          <w:numId w:val="1"/>
        </w:numPr>
      </w:pPr>
      <w:r>
        <w:t>Each column will include a cell to scale the DER profile up or down.</w:t>
      </w:r>
    </w:p>
    <w:p w14:paraId="7D144D8C" w14:textId="22727FD2" w:rsidR="0051074E" w:rsidRDefault="0051074E" w:rsidP="00FF304C">
      <w:pPr>
        <w:pStyle w:val="ListParagraph"/>
        <w:numPr>
          <w:ilvl w:val="0"/>
          <w:numId w:val="1"/>
        </w:numPr>
      </w:pPr>
      <w:r>
        <w:t xml:space="preserve">The columns will aggregate into the DER profile column on the DER Dashboard tab to analyze the overall financial impact of the portfolio.  </w:t>
      </w:r>
    </w:p>
    <w:p w14:paraId="338DFDEF" w14:textId="0DB17029" w:rsidR="00FF304C" w:rsidRPr="00FF304C" w:rsidRDefault="001960E2" w:rsidP="00AA07A0">
      <w:r>
        <w:t xml:space="preserve">A flow factor matrix is used to evaluate the relation between separate DER projects. </w:t>
      </w:r>
      <w:r w:rsidR="00FF304C">
        <w:t xml:space="preserve">These modifications should be included in the first implementation of the LNBA tool. </w:t>
      </w:r>
    </w:p>
    <w:p w14:paraId="092697CF" w14:textId="4ADD36D2" w:rsidR="00B20DFF" w:rsidRDefault="00B20DFF" w:rsidP="00A75C7F">
      <w:pPr>
        <w:pStyle w:val="Heading2"/>
        <w:numPr>
          <w:ilvl w:val="1"/>
          <w:numId w:val="2"/>
        </w:numPr>
      </w:pPr>
      <w:bookmarkStart w:id="21" w:name="_Toc500517297"/>
      <w:r>
        <w:t>Form technical subgroup in long-term refinements to develop methodologies for non-zero location-specific transmission costs</w:t>
      </w:r>
      <w:bookmarkEnd w:id="21"/>
    </w:p>
    <w:p w14:paraId="705A14CF" w14:textId="154F7B6B" w:rsidR="00A75C7F" w:rsidRDefault="00A75C7F" w:rsidP="00A75C7F">
      <w:pPr>
        <w:pStyle w:val="Heading3"/>
        <w:numPr>
          <w:ilvl w:val="2"/>
          <w:numId w:val="2"/>
        </w:numPr>
      </w:pPr>
      <w:bookmarkStart w:id="22" w:name="_Toc500517298"/>
      <w:r>
        <w:t>Overview</w:t>
      </w:r>
      <w:bookmarkEnd w:id="22"/>
    </w:p>
    <w:p w14:paraId="1BF15B7D" w14:textId="77777777" w:rsidR="00A75C7F" w:rsidRPr="00A75C7F" w:rsidRDefault="00A75C7F" w:rsidP="00A75C7F">
      <w:pPr>
        <w:pStyle w:val="ListParagraph"/>
        <w:ind w:left="1080"/>
      </w:pPr>
    </w:p>
    <w:p w14:paraId="289A98D9" w14:textId="13F8263A" w:rsidR="007D0C64" w:rsidRDefault="00986CD5" w:rsidP="00B20DFF">
      <w:r>
        <w:t xml:space="preserve">A technical subgroup of the LNBA </w:t>
      </w:r>
      <w:r w:rsidRPr="00A3508F">
        <w:t xml:space="preserve">WG held </w:t>
      </w:r>
      <w:r w:rsidR="00A3508F" w:rsidRPr="00A3508F">
        <w:t>8</w:t>
      </w:r>
      <w:r>
        <w:t xml:space="preserve"> calls and 1 in-person meeting</w:t>
      </w:r>
      <w:r w:rsidR="00D61AF0">
        <w:t xml:space="preserve"> to discuss the potential avoided transmission value within a deferral use case and the potential avoided transmission value within a cost-effectiveness use case that extends through the entire life of the DER asset. It was determined that the primary purpose and near-term objective of the subgroup should be to identify a value for the DERAC tool. Simultaneously, the Track 1 Decision on ICA and LNBA</w:t>
      </w:r>
      <w:r w:rsidR="007D0C64">
        <w:t xml:space="preserve"> (Sept. 8 Decision 17-09-026)</w:t>
      </w:r>
      <w:r w:rsidR="00D61AF0">
        <w:t xml:space="preserve"> </w:t>
      </w:r>
      <w:r w:rsidR="007D0C64">
        <w:t xml:space="preserve">asks the IOUs to serve proposals for modeling and/or methodological approaches to achieve the third use case (use of LNBA in cost-effectiveness evaluation and in the DERAC tool). These proposals were due December 6, 60 days after the Decision. </w:t>
      </w:r>
    </w:p>
    <w:p w14:paraId="4DE67C98" w14:textId="312971BB" w:rsidR="007D0C64" w:rsidRDefault="00EE5D85" w:rsidP="00B20DFF">
      <w:r>
        <w:t xml:space="preserve">The Decision orders the IOUs to file methodologies for developing DPA-level avoided T&amp;D values for input into DERAC that </w:t>
      </w:r>
      <w:r w:rsidR="004F6E83">
        <w:t xml:space="preserve">match the lifespan of DERs (30 years), capture uncertainty in deferrable projects (both within and outside the planning horizon), and reflect a planning scenario using a no-DER forecast. </w:t>
      </w:r>
      <w:r w:rsidR="000B0939">
        <w:t xml:space="preserve">To avoid parallel discussions between the Long Term Refinement Report and </w:t>
      </w:r>
      <w:r w:rsidR="00AC2A16">
        <w:t xml:space="preserve">comments on the IOUs’ methodology filings, which will follow a separate, Energy Division-led process, the WG </w:t>
      </w:r>
      <w:r w:rsidR="0068589A">
        <w:t xml:space="preserve">acknowledges that discussion on an avoided transmission value for DERAC should take place in the Energy Division-led process, envisioned to start no earlier than January 2018. </w:t>
      </w:r>
    </w:p>
    <w:p w14:paraId="1E46C32A" w14:textId="54A6780D" w:rsidR="0068589A" w:rsidRDefault="0068589A" w:rsidP="00B20DFF">
      <w:r>
        <w:t xml:space="preserve">In addition, </w:t>
      </w:r>
      <w:r w:rsidR="009762EA">
        <w:t xml:space="preserve">discussions on the deferral use case are identified as useful, but addressed in parallel through other discussion forums, </w:t>
      </w:r>
      <w:r w:rsidR="009762EA" w:rsidRPr="009034A5">
        <w:t>including</w:t>
      </w:r>
      <w:r w:rsidR="009034A5" w:rsidRPr="009034A5">
        <w:t xml:space="preserve"> CAISO-led discussions on the transmission access charge (TAC) </w:t>
      </w:r>
      <w:r w:rsidR="00287ED0" w:rsidRPr="009034A5">
        <w:t>and understanding the outcomes o</w:t>
      </w:r>
      <w:r w:rsidR="00287ED0">
        <w:t xml:space="preserve">f </w:t>
      </w:r>
      <w:r w:rsidR="009034A5">
        <w:t>PG&amp;E’s Oakland Clean Energy Initiative project in Oakland</w:t>
      </w:r>
      <w:r w:rsidR="009762EA">
        <w:t>.</w:t>
      </w:r>
      <w:r w:rsidR="00287ED0">
        <w:t xml:space="preserve"> In addition, there are many variables with regards to understanding how DERs may defer transmission projects (including, but not limited to, reliability standards, operational standards, cost recovery, and jurisdictional issues) that are out of scope for the LNBA.</w:t>
      </w:r>
      <w:r w:rsidR="009762EA">
        <w:t xml:space="preserve"> To that end, the WG </w:t>
      </w:r>
      <w:r w:rsidR="00287ED0">
        <w:t>identifies discussion items and issues for consideration to date, but</w:t>
      </w:r>
      <w:r w:rsidR="00347D45">
        <w:t xml:space="preserve"> defers comment and further deliberation on methodology to </w:t>
      </w:r>
      <w:r w:rsidR="00347D45">
        <w:lastRenderedPageBreak/>
        <w:t xml:space="preserve">the separate Energy Division process overseeing the evaluation of the cost-effectiveness use case. The WG agrees that the avoided transmission value for the deferral use case may be revisited at a later date. </w:t>
      </w:r>
    </w:p>
    <w:p w14:paraId="01EAA5C9" w14:textId="28525B79" w:rsidR="001F296F" w:rsidRDefault="001F296F" w:rsidP="00B20DFF">
      <w:r>
        <w:t xml:space="preserve">The discussion to-date of both the deferral use case and the </w:t>
      </w:r>
      <w:r w:rsidR="009034A5">
        <w:t xml:space="preserve">cost-effectiveness use case are included here. </w:t>
      </w:r>
    </w:p>
    <w:p w14:paraId="1BB9E3F9" w14:textId="598960F2" w:rsidR="00287ED0" w:rsidRDefault="00FA6F26" w:rsidP="00A75C7F">
      <w:pPr>
        <w:pStyle w:val="Heading3"/>
        <w:numPr>
          <w:ilvl w:val="2"/>
          <w:numId w:val="2"/>
        </w:numPr>
      </w:pPr>
      <w:bookmarkStart w:id="23" w:name="_Toc500517299"/>
      <w:r>
        <w:t>Avoided cost value of deferring planned projects</w:t>
      </w:r>
      <w:bookmarkEnd w:id="23"/>
    </w:p>
    <w:p w14:paraId="527BBB0B" w14:textId="77777777" w:rsidR="00A75C7F" w:rsidRPr="00A75C7F" w:rsidRDefault="00A75C7F" w:rsidP="00A75C7F">
      <w:pPr>
        <w:pStyle w:val="ListParagraph"/>
        <w:ind w:left="1080"/>
      </w:pPr>
    </w:p>
    <w:p w14:paraId="5B91D211" w14:textId="2288A736" w:rsidR="000F351A" w:rsidRDefault="000F351A" w:rsidP="00B20DFF">
      <w:r w:rsidRPr="002D16F4">
        <w:t>With regards t</w:t>
      </w:r>
      <w:r w:rsidR="00FB0DEF" w:rsidRPr="002D16F4">
        <w:t xml:space="preserve">o the deferral use case, the </w:t>
      </w:r>
      <w:r w:rsidR="00B33534">
        <w:t xml:space="preserve">subgroup developed a better understanding of the California ISO transmission planning process, and discussed how the CAISO currently identifies alternative mitigation opportunities and </w:t>
      </w:r>
      <w:r w:rsidR="00DA31F3">
        <w:t>considers preferred resources</w:t>
      </w:r>
      <w:r w:rsidR="00B33534">
        <w:t>.</w:t>
      </w:r>
    </w:p>
    <w:p w14:paraId="52E8B00E" w14:textId="30541590" w:rsidR="00B33534" w:rsidRDefault="00B33534" w:rsidP="00B20DFF">
      <w:pPr>
        <w:rPr>
          <w:highlight w:val="yellow"/>
        </w:rPr>
      </w:pPr>
      <w:r>
        <w:t>The ISO annual transmission planning process utilizes the California Energy Commission (CEC) energy and demand forecast produced as a part of the Integrated Energy Resource Plan (IEPR) in the planning process.  The CEC energy and demand managed forecast includes DER such as self-generation and Additional Achievable Energy Efficiency (AAEE).  In the transmission planning process, the ISO uses the CEC mid-demand forecast with the mid-low level AAEE in local area planning and mid-mid level AAEE for system planning as its base scenario analysis.  This analysis is used to determine reliability needs on the transmission system and mitigation plans to address any identified reliability constraints on the system per the applicable reliability standards.  As a part of the ISO transmission planning process, the mitigation that is considered to address the identified reliability constraint includes assessment of transmission alternatives as well as non-transmission alternatives that include preferred resources and DER beyond the levels already included in the CEC IEPR energy and demand forecast.  The ISO transmission planning process is an open and transparent process per the ISO Federal Energy Regulatory Commission (FERC) tariff.  Within the process, the ISO conducts the reliability analysis and posts the results of the reliability analysis on August 15 each year at which point parties can submit alternatives to mitigate identified reliability constraints in the ISO Request Window</w:t>
      </w:r>
      <w:r w:rsidR="00DA31F3">
        <w:t>.</w:t>
      </w:r>
      <w:r>
        <w:t>  The Request Window is open from August 15 to October 15.  In addition, the ISO holds a stakeholder meeting in later part of September to present the reliability assessment results to stakeholders along with potential mitigation alternatives presented by either the ISO or the participating transmission owner (PTO).  The ISO develops recommended mitigation plans in the ISO annual Transmission Plan.  The ISO posts the draft annual Transmission Plan for stakeholder comment at the end of January and presents the final Transmission Plan for ISO Board of Governor approval in March.  If the mitigation plans include transmission alternatives as the recommended alternative, the ISO Board of Governors must approve these projects as required by the ISO tariff.  However, if preferred resources are identified as the recommended mitigation plan, the ISO Board of Governors does not approve the preferred resources, but rather depends on the California Public Utilities Commission (CPUC) or other relevant local regulatory authority to procure the preferred resources.  The ISO Board of Governors only approves transmission projects, not alternative mitigation procurement.   In the Transmission Plan</w:t>
      </w:r>
      <w:r w:rsidRPr="00791D0E">
        <w:t xml:space="preserve">, the ISO </w:t>
      </w:r>
      <w:r w:rsidR="00791D0E" w:rsidRPr="00791D0E">
        <w:t>recommends</w:t>
      </w:r>
      <w:r w:rsidRPr="00791D0E">
        <w:t xml:space="preserve"> that the PTO serving the territory in which the reliability constraint occurs pursues the preferred resources through the appropriate state procurement processes.</w:t>
      </w:r>
    </w:p>
    <w:p w14:paraId="370358B0" w14:textId="48D1CF32" w:rsidR="00673C4A" w:rsidRDefault="00673C4A" w:rsidP="00B20DFF">
      <w:r>
        <w:t xml:space="preserve">The subgroup discussed and agreed that existing and ongoing conversations on consideration of </w:t>
      </w:r>
      <w:r w:rsidRPr="002D16F4">
        <w:t xml:space="preserve">preferred resources and alternative mitigation, through CAISO processes and ongoing utility </w:t>
      </w:r>
      <w:r w:rsidR="002D16F4" w:rsidRPr="002D16F4">
        <w:t>procurement (notably, through PG&amp;E’s Oakland Clean Energy Initiative)</w:t>
      </w:r>
      <w:r w:rsidRPr="002D16F4">
        <w:t>, that</w:t>
      </w:r>
      <w:r>
        <w:t xml:space="preserve"> consideration of avoided </w:t>
      </w:r>
      <w:r>
        <w:lastRenderedPageBreak/>
        <w:t xml:space="preserve">transmission value on a deferral basis should continue to be studied and may be revisited for inclusion into the LNBA at a later date. </w:t>
      </w:r>
    </w:p>
    <w:p w14:paraId="578434DE" w14:textId="1AD2D248" w:rsidR="00E7087E" w:rsidRDefault="002D16F4" w:rsidP="003557B0">
      <w:pPr>
        <w:rPr>
          <w:highlight w:val="yellow"/>
        </w:rPr>
      </w:pPr>
      <w:r>
        <w:t xml:space="preserve">The IOUs have additionally presented two </w:t>
      </w:r>
      <w:r w:rsidR="003557B0">
        <w:t xml:space="preserve">proposals to develop a locational transmission deferral value for consideration, based on the current means of calculating marginal transmission capacity costs in CPUC </w:t>
      </w:r>
      <w:commentRangeStart w:id="24"/>
      <w:r w:rsidR="003557B0">
        <w:t>proceedings</w:t>
      </w:r>
      <w:commentRangeEnd w:id="24"/>
      <w:r w:rsidR="000E1EA4">
        <w:rPr>
          <w:rStyle w:val="CommentReference"/>
        </w:rPr>
        <w:commentReference w:id="24"/>
      </w:r>
      <w:r w:rsidR="000E1EA4">
        <w:t xml:space="preserve">. </w:t>
      </w:r>
    </w:p>
    <w:p w14:paraId="18B52628" w14:textId="22FD5E20" w:rsidR="001939F4" w:rsidRDefault="001939F4" w:rsidP="003557B0">
      <w:r>
        <w:t xml:space="preserve">Non-IOU subgroup members also presented viewpoints for consideration. These are summarized in the report and can be found in full in Appendix B. </w:t>
      </w:r>
    </w:p>
    <w:p w14:paraId="54C17643" w14:textId="37323DA7" w:rsidR="00977F37" w:rsidRDefault="00977F37" w:rsidP="00977F37">
      <w:r w:rsidRPr="001939F4">
        <w:t xml:space="preserve">The Utility Reform Network (TURN) </w:t>
      </w:r>
      <w:r w:rsidR="002D16F4" w:rsidRPr="001939F4">
        <w:t>has</w:t>
      </w:r>
      <w:r w:rsidR="002D16F4">
        <w:t xml:space="preserve"> identified process recommendations and outlined an avoided cots methodology for identified planned projects. </w:t>
      </w:r>
      <w:r>
        <w:t>TURN believes additional fact-finding is necessary before any meaningful value is incorporated into the DERAC tool and a Commission decision is made. Thus, TURN first recommends that the CPUC coordinate with CAISO to develop a process that would allow for the use of relevant CAISO data from the transmission planning process to address gaps in data. In addition to this fact-finding process, TURN recommends that the CPUC coordinate explicitly with the CAISO to ensure that any avoided cost value in the DERAC reflects a reality in which the CAISO actually defers transmission projects through procurement of DERs, better forecasting, and other mechanisms.</w:t>
      </w:r>
    </w:p>
    <w:p w14:paraId="1CE2D5D0" w14:textId="54C927F2" w:rsidR="00977F37" w:rsidRDefault="00977F37" w:rsidP="00977F37">
      <w:r>
        <w:t>TURN</w:t>
      </w:r>
      <w:r w:rsidR="00F71091">
        <w:t>’s avoided cost methodology to address deferring planned projects is</w:t>
      </w:r>
      <w:r>
        <w:t xml:space="preserve"> based on the following four guiding principles: 1) all values must correspond to revenue requirement reductions for the IOUs and CAISO. Otherwise, ratepayers may pay twice for the same project; 2) Forecast impacts from DERs that are intended to reduce transmission investments must flow through appropriate CPUC or CEC forecasts to impact CAISO TPP; Values must be determined in an analytical fashion and be based in known fact; and 4) Estimated avoided cost values should be for evaluation purposes only; actual payments to DERs should be based on competitive solicitations so that ratepayers have the opportunity to save money in comparison with business-as-usual.</w:t>
      </w:r>
    </w:p>
    <w:p w14:paraId="45314E80" w14:textId="77777777" w:rsidR="00977F37" w:rsidRDefault="00977F37" w:rsidP="00977F37">
      <w:r>
        <w:t>The deferral value for planned projects should use the CAISO TPP as a starting point for identified planned projects, and be updated annually. The deferral value should be based on:</w:t>
      </w:r>
    </w:p>
    <w:p w14:paraId="0F9D5859" w14:textId="77777777" w:rsidR="00977F37" w:rsidRPr="00EE5D85" w:rsidRDefault="00977F37" w:rsidP="00977F37">
      <w:pPr>
        <w:numPr>
          <w:ilvl w:val="0"/>
          <w:numId w:val="14"/>
        </w:numPr>
      </w:pPr>
      <w:r w:rsidRPr="00EE5D85">
        <w:t xml:space="preserve">Deferral values for DERs related to transmission projects planned due to load growth should be based on an understanding of the peak hourly demand of the project combined with expected peak hourly reduction from a given DER. For example, a resource that does not contribute to reducing peak load would not be awarded value for a particular project. </w:t>
      </w:r>
    </w:p>
    <w:p w14:paraId="22530BA0" w14:textId="77777777" w:rsidR="00977F37" w:rsidRPr="00EE5D85" w:rsidRDefault="00977F37" w:rsidP="00977F37">
      <w:pPr>
        <w:numPr>
          <w:ilvl w:val="0"/>
          <w:numId w:val="14"/>
        </w:numPr>
      </w:pPr>
      <w:r w:rsidRPr="00EE5D85">
        <w:t>Only projects identified by CAISO as potentially deferrable by DERs (generically any “non-wires” or “preferred resource” alternative) should be included in the avoided cost value. Projects should be removed if CAISO determines through the TPP that a non-wires alternative is not feasible. This includes the following two categories of projects:</w:t>
      </w:r>
    </w:p>
    <w:p w14:paraId="66F1C2ED" w14:textId="77777777" w:rsidR="00977F37" w:rsidRPr="00EE5D85" w:rsidRDefault="00977F37" w:rsidP="00977F37">
      <w:pPr>
        <w:numPr>
          <w:ilvl w:val="0"/>
          <w:numId w:val="15"/>
        </w:numPr>
      </w:pPr>
      <w:r w:rsidRPr="00EE5D85">
        <w:t xml:space="preserve">Transmission projects identified by the CAISO as </w:t>
      </w:r>
      <w:r w:rsidRPr="00EE5D85">
        <w:rPr>
          <w:i/>
        </w:rPr>
        <w:t>potentially</w:t>
      </w:r>
      <w:r w:rsidRPr="00EE5D85">
        <w:t xml:space="preserve"> having a non-wires alternative;</w:t>
      </w:r>
    </w:p>
    <w:p w14:paraId="63CFFB14" w14:textId="77777777" w:rsidR="00977F37" w:rsidRPr="00EE5D85" w:rsidRDefault="00977F37" w:rsidP="00977F37">
      <w:pPr>
        <w:numPr>
          <w:ilvl w:val="0"/>
          <w:numId w:val="15"/>
        </w:numPr>
      </w:pPr>
      <w:r w:rsidRPr="00EE5D85">
        <w:t xml:space="preserve">Transmission projects for which alternative proposals to deploy DERs are </w:t>
      </w:r>
      <w:r w:rsidRPr="00EE5D85">
        <w:rPr>
          <w:i/>
        </w:rPr>
        <w:t>received</w:t>
      </w:r>
      <w:r w:rsidRPr="00EE5D85">
        <w:t xml:space="preserve"> by CAISO from an outside entity (PTO, DER provider, etc.). </w:t>
      </w:r>
    </w:p>
    <w:p w14:paraId="3CE00735" w14:textId="77777777" w:rsidR="00977F37" w:rsidRPr="00EE5D85" w:rsidRDefault="00977F37" w:rsidP="00977F37">
      <w:pPr>
        <w:numPr>
          <w:ilvl w:val="0"/>
          <w:numId w:val="14"/>
        </w:numPr>
      </w:pPr>
      <w:r w:rsidRPr="00EE5D85">
        <w:lastRenderedPageBreak/>
        <w:t xml:space="preserve">Deferral values should be locational in nature wherever possible, applying to an entire DLAP, sub-lap, or other area of granularity where a project is proposed to be built. In the future, the Commission should base locational values on load-flow models to determine where DERs have the most impact on reducing peak load for a given constraint. Existing load-flow exercises conducted in the TPP or for local capacity determinations may be leveraged to this end. </w:t>
      </w:r>
    </w:p>
    <w:p w14:paraId="3D52B840" w14:textId="77777777" w:rsidR="00A057CB" w:rsidRDefault="00977F37" w:rsidP="00977F37">
      <w:pPr>
        <w:numPr>
          <w:ilvl w:val="0"/>
          <w:numId w:val="14"/>
        </w:numPr>
      </w:pPr>
      <w:r w:rsidRPr="00EE5D85">
        <w:t>A price cap on Local Reliability Areas marginal transmission costs could be set equal to the costs of generation alternatives, such as market prices for local Resource Adequacy capacity in each area or the CAISO’s Capacity Procurement Mechanism price.  A computation of the deferral value of new generation investment could also be applied as a price cap to ensure reasonable deferral value results.</w:t>
      </w:r>
    </w:p>
    <w:p w14:paraId="6910545B" w14:textId="5D125328" w:rsidR="00A057CB" w:rsidRDefault="00977F37" w:rsidP="00977F37">
      <w:pPr>
        <w:numPr>
          <w:ilvl w:val="0"/>
          <w:numId w:val="14"/>
        </w:numPr>
      </w:pPr>
      <w:r w:rsidRPr="00EE5D85">
        <w:t>Computation of deferral values of avoided transmission investments should be computed using the “NERA Method” which the utilities now use to compute marginal transmission and distribution costs for rate design purposes</w:t>
      </w:r>
    </w:p>
    <w:p w14:paraId="75EA34D7" w14:textId="342FA233" w:rsidR="001F296F" w:rsidRDefault="001F296F" w:rsidP="00A75C7F">
      <w:pPr>
        <w:pStyle w:val="Heading3"/>
        <w:numPr>
          <w:ilvl w:val="2"/>
          <w:numId w:val="2"/>
        </w:numPr>
      </w:pPr>
      <w:bookmarkStart w:id="25" w:name="_Toc500517300"/>
      <w:r w:rsidRPr="001F296F">
        <w:t>Avoided Transmission Value for DERAC Calculator</w:t>
      </w:r>
      <w:bookmarkEnd w:id="25"/>
      <w:r w:rsidRPr="001F296F">
        <w:t xml:space="preserve"> </w:t>
      </w:r>
    </w:p>
    <w:p w14:paraId="488868F7" w14:textId="77777777" w:rsidR="00A75C7F" w:rsidRPr="00A75C7F" w:rsidRDefault="00A75C7F" w:rsidP="00A75C7F">
      <w:pPr>
        <w:pStyle w:val="ListParagraph"/>
        <w:ind w:left="1080"/>
      </w:pPr>
    </w:p>
    <w:p w14:paraId="66C4D37E" w14:textId="77777777" w:rsidR="004F6E83" w:rsidRDefault="00673C4A" w:rsidP="00B20DFF">
      <w:r>
        <w:t>With regards to the cost-effectiveness use case,</w:t>
      </w:r>
      <w:r w:rsidR="004F6E83">
        <w:t xml:space="preserve"> the joint IOUs submitted methodology proposals to the CPUC ED on December 5. Their proposals on an avoided transmission value are summarized below, and can be found in full in their </w:t>
      </w:r>
      <w:commentRangeStart w:id="26"/>
      <w:r w:rsidR="004F6E83">
        <w:t>individual filings.</w:t>
      </w:r>
      <w:commentRangeEnd w:id="26"/>
      <w:r w:rsidR="004F6E83">
        <w:rPr>
          <w:rStyle w:val="CommentReference"/>
        </w:rPr>
        <w:commentReference w:id="26"/>
      </w:r>
    </w:p>
    <w:p w14:paraId="123C57E7" w14:textId="736AAB59" w:rsidR="004F6E83" w:rsidRDefault="004F6E83" w:rsidP="004F6E83">
      <w:r w:rsidRPr="004F6E83">
        <w:t xml:space="preserve">PG&amp;E </w:t>
      </w:r>
      <w:r>
        <w:t xml:space="preserve">states it is currently </w:t>
      </w:r>
      <w:r w:rsidRPr="004F6E83">
        <w:t>premature to make a specific proposal regarding development of a geographically differentiated transmission capacity avoided cost at this time, but is open to working with CAISO and other stakeholders to determine whether a geographically differentiated transmission capacity avoided cost is supported by data and consistent with CAISO and FERC guidance and rules.</w:t>
      </w:r>
      <w:r w:rsidR="009034A5">
        <w:t xml:space="preserve"> At this time, </w:t>
      </w:r>
      <w:r w:rsidRPr="004F6E83">
        <w:t>PG&amp;E’s preference is to look to the CAISO market data to determine if there is an observable differential locational value for the provision of transmission services and how that differential value is currently monetized before attempting to develop a shadow price proxy. If a locational transmission avoided cost is supported by the analysis, then development of “</w:t>
      </w:r>
      <w:r w:rsidR="009034A5">
        <w:t>transmission factor (</w:t>
      </w:r>
      <w:r w:rsidRPr="004F6E83">
        <w:t>T-factor</w:t>
      </w:r>
      <w:r w:rsidR="009034A5">
        <w:t>)</w:t>
      </w:r>
      <w:r w:rsidRPr="004F6E83">
        <w:t xml:space="preserve">” criteria </w:t>
      </w:r>
      <w:r w:rsidR="00977F37">
        <w:t>(parallel to the D-factor method proposed for distribution avoided cost)</w:t>
      </w:r>
      <w:r w:rsidRPr="004F6E83">
        <w:t xml:space="preserve"> that would be required for a DER program to show that is has the right place, right time, right availability and right certainty to capture the location specific transmission avoided cost under prevailing CAISO and FERC guidance and rules. </w:t>
      </w:r>
    </w:p>
    <w:p w14:paraId="6E20D7EC" w14:textId="083C6962" w:rsidR="001F296F" w:rsidRDefault="001F296F" w:rsidP="004F6E83">
      <w:r w:rsidRPr="00977F37">
        <w:rPr>
          <w:highlight w:val="yellow"/>
        </w:rPr>
        <w:t>SCE -</w:t>
      </w:r>
      <w:r>
        <w:t xml:space="preserve"> </w:t>
      </w:r>
    </w:p>
    <w:p w14:paraId="7EA2950A" w14:textId="35D0B0A0" w:rsidR="00977F37" w:rsidRDefault="001F296F" w:rsidP="00B20DFF">
      <w:r w:rsidRPr="00977F37">
        <w:rPr>
          <w:highlight w:val="yellow"/>
        </w:rPr>
        <w:t xml:space="preserve">SDG&amp;E </w:t>
      </w:r>
      <w:r w:rsidR="00977F37">
        <w:rPr>
          <w:highlight w:val="yellow"/>
        </w:rPr>
        <w:t>–</w:t>
      </w:r>
      <w:r>
        <w:t xml:space="preserve"> </w:t>
      </w:r>
    </w:p>
    <w:p w14:paraId="1DACD5E8" w14:textId="5F8B1FA5" w:rsidR="00EE5D85" w:rsidRDefault="00977F37" w:rsidP="00B20DFF">
      <w:r>
        <w:t xml:space="preserve">In addition to the IOUs’ filed proposals, the subgroup discussed whether it was feasible for CAISO to similarly use a no-DER growth forecast. </w:t>
      </w:r>
      <w:r w:rsidR="00EE5D85">
        <w:t>CAISO has</w:t>
      </w:r>
      <w:r w:rsidR="004F6E83">
        <w:t xml:space="preserve"> additionally</w:t>
      </w:r>
      <w:r w:rsidR="00EE5D85">
        <w:t xml:space="preserve"> submitted the following comments for</w:t>
      </w:r>
      <w:r w:rsidR="004F6E83">
        <w:t xml:space="preserve"> consideration regarding the cost-effectiveness use case:</w:t>
      </w:r>
    </w:p>
    <w:p w14:paraId="2C804AA5" w14:textId="79DEE6DE" w:rsidR="00B33534" w:rsidRPr="001939F4" w:rsidRDefault="00B33534" w:rsidP="00B20DFF">
      <w:r>
        <w:t xml:space="preserve">As agreed between the ISO, CEC and CPUC, the transmission and resource planning use the CEC’s IEPR managed forecast for energy and demand as the base scenario for all planning processes.  Using the CEC IEPR forecast, the ISO annual transmission planning process assesses the reliability needs and develops mitigation plans with the forecast DER that are incorporated into the base scenario.  The ISO does not </w:t>
      </w:r>
      <w:r>
        <w:lastRenderedPageBreak/>
        <w:t>conduct counterfactual analysis to assess the reliability needs or mitigation plans without the DER included in the CEC IEPR energy and demand forecast.  This analysis would be overly burdensome and would require the ISO to develop mitigation plans to meet the requirements of the applicable reliability standards under the counterfactual scenario.  The ISO does conduct sensitivity analyses that are incorporated into the annual study plan.  The annual process allows for stakeholder comments in February of each annual planning process cycle.  These sensitivities have included assessments of the reliability constraints that would occur if the AAEE in the managed forecast does not materialize; however mitigation plans are not developed for these conditions as they provide information only on potential reliability needs if the planned AAEE identified in the CEC IEPR forecast does not materialize as forecast.  This information can be used to identify potential areas of targeting for AAEE or applicable other DER programs to ensure that the forecast load modifiers in the CEC IEPR energy and demand forecast are developed as planned.  The ISO analysis does not provide valuation of mitigation for these as the ISO does not develop mitigation plans for these sensitivity assessments as the AAEE is assumed to be a part of the managed forecast as agreed to between the CEC, CPUC and ISO.</w:t>
      </w:r>
    </w:p>
    <w:p w14:paraId="1178B443" w14:textId="77777777" w:rsidR="009B14A0" w:rsidRPr="001939F4" w:rsidRDefault="00287ED0" w:rsidP="00B20DFF">
      <w:r>
        <w:t xml:space="preserve">Some members of the subgroup have developed the following written proposals for consideration; they are included in </w:t>
      </w:r>
      <w:r w:rsidRPr="001939F4">
        <w:t xml:space="preserve">full </w:t>
      </w:r>
      <w:r w:rsidR="009B14A0" w:rsidRPr="001939F4">
        <w:t>in the Appendix and summarized below:</w:t>
      </w:r>
    </w:p>
    <w:p w14:paraId="5C8422EB" w14:textId="1022AFC7" w:rsidR="00DE4D06" w:rsidRDefault="00894860" w:rsidP="00894860">
      <w:r>
        <w:t xml:space="preserve">The Solar Energy Industry Association (SEIA) proposed to develop the counterfactual, long-run transmission costs avoided by DERs by first </w:t>
      </w:r>
      <w:r w:rsidR="00AD561F">
        <w:t>calculating a long-term system avoided cost value that can be used over the full 25-year lifetime of DER, then developing a means to increase locational granularity. With regards to the system-level value, this should reflect long-run avoided bulk transmission costs for each of the IOU service territories. This should be the system value for use in the DERAC calculator</w:t>
      </w:r>
      <w:r w:rsidR="00DE4D06">
        <w:t xml:space="preserve"> and also be the Commission’s priority</w:t>
      </w:r>
      <w:r w:rsidR="00AD561F">
        <w:t>.</w:t>
      </w:r>
      <w:r w:rsidR="00E92C8C">
        <w:t xml:space="preserve"> SEIA recommends that this calculation use the National Economic Research Associates’ (NERA) regression methodology that the utilities often employ to calculate marginal sub-transmission and distribution costs. </w:t>
      </w:r>
      <w:r w:rsidR="00AD561F">
        <w:t xml:space="preserve"> </w:t>
      </w:r>
      <w:r w:rsidR="00DE4D06">
        <w:t xml:space="preserve">Additional input, such as including more data from the IOUs, will allow for further methodology refinement. Alternatively, the avoided transmission cost could be divided into two components: 1) the marginal cost per kW of peak demand for all transmission investments related to </w:t>
      </w:r>
      <w:r w:rsidR="00DE4D06">
        <w:rPr>
          <w:szCs w:val="24"/>
        </w:rPr>
        <w:t>load growth, reliability, or economics and (2) the marginal cost per kWh of transmission built to access RPS resources.  The first component would use the    NERA regression method discussed above, but limited to transmission investments related to load growth, reliability, or economics as a function of planned peak capacity.  The second component would be a separate calculation of the marginal cost of RPS-related transmission, with kilowatt-hours as the driver because the RPS goal is based on kWh sales.  In this calculation, renewable generation from DERs would be assumed to displace RPS generation on a kWh-for-kWh basis, because both contribute equally to meeting the state’s long-term carbon reduction goals.   DERs that simply reduce loads (such as energy efficiency measures) would be assumed to avoid marginal RPS transmission costs by the kWh saved times the applicable RPS percentage-of-sales requirement.</w:t>
      </w:r>
    </w:p>
    <w:p w14:paraId="48067272" w14:textId="2D1A61AE" w:rsidR="00894860" w:rsidRDefault="00DE4D06" w:rsidP="00894860">
      <w:r>
        <w:t xml:space="preserve"> </w:t>
      </w:r>
      <w:r w:rsidR="00AD561F">
        <w:t>To develop more granular, locational avoided costs, SEIA recommends that all stakeholders continue to work to refine the CAISO’s transmission planning process to support consideration of DERs as a non-wires alternative</w:t>
      </w:r>
      <w:r>
        <w:t xml:space="preserve"> for specific local areas (for example, the transmission investments developed to resolve capacity deficits in the Western LA Basin from SONGS retirement identified a cost benchmark for alternative resources). </w:t>
      </w:r>
    </w:p>
    <w:p w14:paraId="60CD0C03" w14:textId="123F5C63" w:rsidR="00AD561F" w:rsidRDefault="00AD561F" w:rsidP="00894860">
      <w:r w:rsidRPr="00E92C8C">
        <w:lastRenderedPageBreak/>
        <w:t>SEIA also takes the position that all transmission costs should assume to be deferrable by DERs</w:t>
      </w:r>
      <w:r w:rsidR="00E92C8C">
        <w:t>, and presents rationale why DERs can defer all four primary drivers of transmission investments (to serve peak loads, reliability, economic, and policy-driven investments)</w:t>
      </w:r>
      <w:r w:rsidRPr="00E92C8C">
        <w:t>.</w:t>
      </w:r>
      <w:r w:rsidR="00E92C8C">
        <w:t xml:space="preserve"> Further, given the networked nature of the transmission system, projects built principally to meet one need can provide secondary benefits, necessitating that all transmission investments need to be included when calculating marginal transmission costs. </w:t>
      </w:r>
      <w:r w:rsidRPr="00E92C8C">
        <w:t xml:space="preserve"> </w:t>
      </w:r>
      <w:r w:rsidR="00E92C8C" w:rsidRPr="00E92C8C">
        <w:t xml:space="preserve"> </w:t>
      </w:r>
    </w:p>
    <w:p w14:paraId="23C7F598" w14:textId="2E706531" w:rsidR="001939F4" w:rsidRDefault="001939F4" w:rsidP="00894860">
      <w:r>
        <w:t xml:space="preserve">Clean Coalition agrees with the SEIA proposal in that it agrees that a system-wide marginal cost of transmission should serve as a starting point, building upon CAISO data to improve locational value. </w:t>
      </w:r>
      <w:r w:rsidR="00F02378">
        <w:t xml:space="preserve">As a starting point, Clean Coalition proposes using the per-MWh valuation of transmission revenue requirement (TRR) reduction achieved by DER, consistent with the CAISO transmission access charge. Clean Coalition’s Transmission Impact Analysis Model that calculates this value, reflecting the impact profile of each DER category on both total load and peak load. Clean Coalition also supports locational variation factors to be applied to the default marginal cost value based on forecast regional transmissions needs if DER growth did not occur.  </w:t>
      </w:r>
    </w:p>
    <w:p w14:paraId="28E6D5FB" w14:textId="5A230FAA" w:rsidR="00F02378" w:rsidRPr="00E92C8C" w:rsidRDefault="00F02378" w:rsidP="00894860">
      <w:r>
        <w:t xml:space="preserve">Clean Coalition additionally echoes SEIA in that DERs can reduce the need for transmission investments for peak capacity, reliability, economic, and policy purposes. </w:t>
      </w:r>
    </w:p>
    <w:p w14:paraId="7C60CECB" w14:textId="04B00605" w:rsidR="00B20DFF" w:rsidRDefault="00B20DFF" w:rsidP="00C6264E">
      <w:pPr>
        <w:pStyle w:val="Heading1"/>
        <w:numPr>
          <w:ilvl w:val="0"/>
          <w:numId w:val="2"/>
        </w:numPr>
      </w:pPr>
      <w:bookmarkStart w:id="27" w:name="_Toc500517301"/>
      <w:r>
        <w:t>Group II topics</w:t>
      </w:r>
      <w:bookmarkEnd w:id="27"/>
    </w:p>
    <w:p w14:paraId="28EA494B" w14:textId="112AF098" w:rsidR="00427E89" w:rsidRDefault="00427E89" w:rsidP="00C6264E">
      <w:pPr>
        <w:pStyle w:val="Heading2"/>
        <w:numPr>
          <w:ilvl w:val="1"/>
          <w:numId w:val="2"/>
        </w:numPr>
      </w:pPr>
      <w:bookmarkStart w:id="28" w:name="_Toc500517302"/>
      <w:r>
        <w:t>Incorporating an uncertainty metric</w:t>
      </w:r>
      <w:bookmarkEnd w:id="28"/>
    </w:p>
    <w:p w14:paraId="5275EDA7" w14:textId="77777777" w:rsidR="00C6264E" w:rsidRPr="00C6264E" w:rsidRDefault="00C6264E" w:rsidP="00C6264E">
      <w:pPr>
        <w:pStyle w:val="ListParagraph"/>
        <w:ind w:left="750"/>
      </w:pPr>
    </w:p>
    <w:p w14:paraId="3F0A8C5A" w14:textId="0D2CC30E" w:rsidR="00427E89" w:rsidRDefault="009E7CC4" w:rsidP="00B20DFF">
      <w:r>
        <w:t xml:space="preserve">The LNBA WG </w:t>
      </w:r>
      <w:r w:rsidR="00101BE0">
        <w:t>had previously identified the incorporation of an uncertainty metric as a non-consensus topic. The WG has considered the “uncertainty metric” with regards to load forecasting, to provide</w:t>
      </w:r>
      <w:r w:rsidR="00961BEF">
        <w:t xml:space="preserve"> an indicat</w:t>
      </w:r>
      <w:r w:rsidR="00122609">
        <w:t>ion</w:t>
      </w:r>
      <w:r w:rsidR="00961BEF">
        <w:t xml:space="preserve"> of the likelihood that</w:t>
      </w:r>
      <w:r w:rsidR="00122609">
        <w:t xml:space="preserve"> </w:t>
      </w:r>
      <w:r w:rsidR="00961BEF">
        <w:t xml:space="preserve">the forecasted need is likely to occur. </w:t>
      </w:r>
      <w:r w:rsidR="00122609">
        <w:t xml:space="preserve">For example, a project based on a forecasted need five years out is less certain that a projected based on a forecast two years out. </w:t>
      </w:r>
      <w:r w:rsidR="003E5050">
        <w:t xml:space="preserve">The LNBA tool does not currently incorporate forecast uncertainty. </w:t>
      </w:r>
      <w:r w:rsidR="00961BEF">
        <w:t>The WG discussed the development of the uncertainty metric within the LNBA use cases</w:t>
      </w:r>
      <w:r w:rsidR="003E5050">
        <w:t>, including both how the value can be included in the LNBA tool as well as how it may be represented on the LNBA heat map</w:t>
      </w:r>
      <w:r w:rsidR="00961BEF">
        <w:t>.</w:t>
      </w:r>
    </w:p>
    <w:p w14:paraId="12B724D3" w14:textId="23E101E5" w:rsidR="00961BEF" w:rsidRDefault="003E5050" w:rsidP="00B20DFF">
      <w:r>
        <w:t xml:space="preserve">With regards to the deferral framework use case, the WG is in consensus that the uncertainty/certainty metric should be used as one of the prioritization </w:t>
      </w:r>
      <w:r w:rsidR="00BA2018">
        <w:t>variables</w:t>
      </w:r>
      <w:r w:rsidR="003E59B0">
        <w:t xml:space="preserve"> within the Distribution Investment Deferral Framework (DIDF)</w:t>
      </w:r>
      <w:r w:rsidR="00BA2018">
        <w:t xml:space="preserve"> to select deferrable projects to move to RFO for DER procurement</w:t>
      </w:r>
      <w:r w:rsidR="00935B62">
        <w:t xml:space="preserve"> and solicitation, to screen out non-desirable candidates for deferral. </w:t>
      </w:r>
    </w:p>
    <w:p w14:paraId="170C7B1C" w14:textId="76E4D33A" w:rsidR="00935B62" w:rsidRDefault="00935B62" w:rsidP="00B20DFF">
      <w:r w:rsidRPr="003E59B0">
        <w:t>The WG agrees that the uncertainty/certainty metric will not be used to screen out projects that would otherwise be included in the LNBA – this screening has been identified through the IDER Decision on competitive solicitation</w:t>
      </w:r>
      <w:r w:rsidR="00347D45" w:rsidRPr="003E59B0">
        <w:t xml:space="preserve">, </w:t>
      </w:r>
      <w:r w:rsidRPr="003E59B0">
        <w:t>whereby projects that pass technical screens to identify grid services and the timing screen</w:t>
      </w:r>
      <w:r w:rsidR="00347D45" w:rsidRPr="003E59B0">
        <w:t xml:space="preserve"> </w:t>
      </w:r>
      <w:r w:rsidRPr="003E59B0">
        <w:t>are included as projects within the LNBA tool.</w:t>
      </w:r>
      <w:r>
        <w:t xml:space="preserve"> </w:t>
      </w:r>
    </w:p>
    <w:p w14:paraId="54DBAD73" w14:textId="77777777" w:rsidR="00935B62" w:rsidRDefault="00935B62" w:rsidP="00B20DFF">
      <w:r>
        <w:t xml:space="preserve">The WG agrees that the uncertainty/certainty metric is a qualitative screen reflecting the timing of the distribution need and load growth or generation project driving that need. Distribution needs closer to present day are deemed more certain and of higher priority. Another way to assess certainty is the presence of a formal interconnection request. The IOUs will use the certainty/uncertainty metric as one </w:t>
      </w:r>
      <w:r>
        <w:lastRenderedPageBreak/>
        <w:t>assessment of distribution need, to prioritize potentially deferrable projects to be included within the RFO process.</w:t>
      </w:r>
    </w:p>
    <w:p w14:paraId="0A99EB2C" w14:textId="77777777" w:rsidR="00935B62" w:rsidRDefault="00935B62" w:rsidP="00B20DFF">
      <w:r>
        <w:t xml:space="preserve">The WG agrees that this qualitative metric will also be reflected in the LNBA maps through an additional layer indicating certainty as “low”, “medium”, or “high”. </w:t>
      </w:r>
    </w:p>
    <w:p w14:paraId="4DDFBB05" w14:textId="77777777" w:rsidR="00935B62" w:rsidRDefault="00935B62" w:rsidP="00B20DFF">
      <w:r>
        <w:t xml:space="preserve">With regards to the cost-effectiveness use case defined by the Track 1 Decision on ICA and LNBA, the Decision </w:t>
      </w:r>
      <w:r w:rsidR="00560E37">
        <w:t xml:space="preserve">directs the IOUs to calculate the probability of unanticipated T&amp;D projects up to a 30-year window and the necessity to determine grid needs and planned projects absent of the anticipated “autonomous growth” of DERs. The methodology for this use case will be included in the IOU-filed proposals due December 6. The WG engaged in discussion regarding how the uncertainty metric may be included within the LNBA methodology, but agreed that further discussion regarding its incorporation should be conducted through the ED-led workshops envisioned in the Decision on the IOU-filed methodologies. </w:t>
      </w:r>
    </w:p>
    <w:p w14:paraId="1B1685F6" w14:textId="7C4EDBDE" w:rsidR="00560E37" w:rsidRDefault="00560E37" w:rsidP="00C6264E">
      <w:pPr>
        <w:pStyle w:val="Heading2"/>
        <w:numPr>
          <w:ilvl w:val="1"/>
          <w:numId w:val="2"/>
        </w:numPr>
      </w:pPr>
      <w:bookmarkStart w:id="29" w:name="_Toc500517303"/>
      <w:r>
        <w:t>Incorporation of Growth Scenarios</w:t>
      </w:r>
      <w:bookmarkEnd w:id="29"/>
    </w:p>
    <w:p w14:paraId="278D8C5F" w14:textId="77777777" w:rsidR="00C6264E" w:rsidRPr="00C6264E" w:rsidRDefault="00C6264E" w:rsidP="00C6264E">
      <w:pPr>
        <w:pStyle w:val="ListParagraph"/>
        <w:ind w:left="750"/>
      </w:pPr>
    </w:p>
    <w:p w14:paraId="4A1DEB5C" w14:textId="77777777" w:rsidR="00EF4A68" w:rsidRDefault="00287A45" w:rsidP="00B20DFF">
      <w:r>
        <w:t>The IOUs used two growth scenarios in Demo B: a planning scenario (representing the forecast used for distribution planning) and a “very high” scenario (representing full implementation of ambitious policy objectives and resulting high-DER adoption).</w:t>
      </w:r>
      <w:r w:rsidR="00F569C0">
        <w:t xml:space="preserve"> The WG discussed whether the LNBA should use multiple growth scenarios or a single planning scenario. This topic additionally requires coordination with the DER Growth Scenarios developing under DRP Track 3, Sub-track 1</w:t>
      </w:r>
      <w:r w:rsidR="00EF4A68">
        <w:t xml:space="preserve">. Currently, IOU distribution planning only uses a single forecast, and existing tools and resources only support the use of one forecast. Conducting multiple scenarios requires additional IOU resources to develop the requisite enhancements to planning tools. </w:t>
      </w:r>
    </w:p>
    <w:p w14:paraId="78DAFCB7" w14:textId="77777777" w:rsidR="00EF4A68" w:rsidRDefault="00EF4A68" w:rsidP="00B20DFF">
      <w:r>
        <w:t>The WG agrees that, for the time being, the LNBA should remain consistent with the distribution planning process. The WG may consider appropriate refinements to the LNBA tool after the Track 3 Sub-track  1 on growth scenarios is resolved.</w:t>
      </w:r>
    </w:p>
    <w:p w14:paraId="041DDF96" w14:textId="038E9601" w:rsidR="00EF4A68" w:rsidRDefault="00EF4A68" w:rsidP="00C6264E">
      <w:pPr>
        <w:pStyle w:val="Heading1"/>
        <w:numPr>
          <w:ilvl w:val="0"/>
          <w:numId w:val="2"/>
        </w:numPr>
      </w:pPr>
      <w:bookmarkStart w:id="30" w:name="_Toc500517304"/>
      <w:r>
        <w:t>Group III</w:t>
      </w:r>
      <w:bookmarkEnd w:id="30"/>
    </w:p>
    <w:p w14:paraId="14444769" w14:textId="77777777" w:rsidR="0051074E" w:rsidRPr="0051074E" w:rsidRDefault="0051074E" w:rsidP="0051074E"/>
    <w:p w14:paraId="09172E93" w14:textId="7D3FF098" w:rsidR="00EF4A68" w:rsidRDefault="00EF4A68" w:rsidP="00C6264E">
      <w:pPr>
        <w:pStyle w:val="Heading2"/>
        <w:numPr>
          <w:ilvl w:val="1"/>
          <w:numId w:val="2"/>
        </w:numPr>
      </w:pPr>
      <w:bookmarkStart w:id="31" w:name="_Toc500517305"/>
      <w:r>
        <w:t>Explore asset life extension/reduction value provided by DERs</w:t>
      </w:r>
      <w:bookmarkEnd w:id="31"/>
    </w:p>
    <w:p w14:paraId="00A962CD" w14:textId="77777777" w:rsidR="00C6264E" w:rsidRPr="00C6264E" w:rsidRDefault="00C6264E" w:rsidP="00C6264E">
      <w:pPr>
        <w:pStyle w:val="ListParagraph"/>
        <w:ind w:left="750"/>
      </w:pPr>
    </w:p>
    <w:p w14:paraId="59626FE7" w14:textId="6DFFF056" w:rsidR="00E63293" w:rsidRDefault="00EF4A68" w:rsidP="00E63293">
      <w:pPr>
        <w:spacing w:after="0"/>
      </w:pPr>
      <w:r>
        <w:t>Asset life extension or reduction is identified in the Track 1 Decision as a long-term LNBA refinement which could provide possible DER benefit</w:t>
      </w:r>
      <w:r w:rsidR="00122609">
        <w:t xml:space="preserve">s outside of </w:t>
      </w:r>
      <w:r>
        <w:t>capital investment deferral.</w:t>
      </w:r>
      <w:r w:rsidR="00E65049">
        <w:t xml:space="preserve"> </w:t>
      </w:r>
      <w:r w:rsidR="009135BF">
        <w:t xml:space="preserve">Asset life extension or reduction refers to how DERs may impact or reduce the likelihood of equipment failure. This is separate from routine operations and maintenance tasks and distribution capacity upgrade deferrals. </w:t>
      </w:r>
      <w:r w:rsidR="00E65049">
        <w:t>Distribution assets are removed from service due to 1) failur</w:t>
      </w:r>
      <w:r w:rsidR="00C043AE">
        <w:t xml:space="preserve">e (e.g., manufacturing defects, environmental factors, specific incidents, wear and tear, and thermal degradation), 2) </w:t>
      </w:r>
      <w:r w:rsidR="00E63293">
        <w:t>obsolescence (when the old design is no longer considered safe or functional for current needs), and 3) redeployment (when transformers that are not at end-of-life which are replaced during a capacity upgrader are kept in stock and redeployed).</w:t>
      </w:r>
      <w:r>
        <w:t xml:space="preserve"> The WG identified, discussed, and </w:t>
      </w:r>
      <w:r w:rsidR="00E63293">
        <w:t>agreed that</w:t>
      </w:r>
      <w:r>
        <w:t xml:space="preserve"> DERs may impact the life of distribution assets removed </w:t>
      </w:r>
      <w:r>
        <w:lastRenderedPageBreak/>
        <w:t>from service</w:t>
      </w:r>
      <w:r w:rsidR="00E63293">
        <w:t xml:space="preserve"> only for a subset of failures (wear and tear, thermal degradation)</w:t>
      </w:r>
      <w:r>
        <w:t>.</w:t>
      </w:r>
      <w:r w:rsidR="00E63293">
        <w:t xml:space="preserve"> Further, while the physical bases for these two modes of failure are relatively well understood, the specific DER impacts are not fully characterized today.</w:t>
      </w:r>
      <w:r w:rsidR="009135BF">
        <w:t xml:space="preserve"> The IOUs’ </w:t>
      </w:r>
      <w:r w:rsidR="003E59B0">
        <w:t xml:space="preserve">proposal, found in </w:t>
      </w:r>
      <w:r w:rsidR="003E59B0" w:rsidRPr="00F02378">
        <w:t xml:space="preserve">Appendix B, </w:t>
      </w:r>
      <w:r w:rsidR="009135BF" w:rsidRPr="00F02378">
        <w:t>summarizes</w:t>
      </w:r>
      <w:r w:rsidR="009135BF">
        <w:t xml:space="preserve"> current research by the California Solar Initiative, IEEE, UC Berkeley, EPRI, and others on DERs’ impact on asset life. </w:t>
      </w:r>
    </w:p>
    <w:p w14:paraId="306BDB18" w14:textId="77777777" w:rsidR="009135BF" w:rsidRDefault="009135BF" w:rsidP="00E63293">
      <w:pPr>
        <w:spacing w:after="0"/>
      </w:pPr>
    </w:p>
    <w:p w14:paraId="34C0E9F5" w14:textId="7CFA651E" w:rsidR="009135BF" w:rsidRDefault="009135BF" w:rsidP="00E63293">
      <w:pPr>
        <w:spacing w:after="0"/>
      </w:pPr>
      <w:r>
        <w:t xml:space="preserve">The WG </w:t>
      </w:r>
      <w:commentRangeStart w:id="32"/>
      <w:r w:rsidRPr="0045302B">
        <w:rPr>
          <w:highlight w:val="yellow"/>
        </w:rPr>
        <w:t>agrees</w:t>
      </w:r>
      <w:commentRangeEnd w:id="32"/>
      <w:r w:rsidR="00122609">
        <w:rPr>
          <w:rStyle w:val="CommentReference"/>
        </w:rPr>
        <w:commentReference w:id="32"/>
      </w:r>
      <w:r>
        <w:t xml:space="preserve"> that asset life impacts of DERs should not be incorporated into LNBA currently, but should remain an active area of study. The WG agrees </w:t>
      </w:r>
      <w:r w:rsidR="00347D45">
        <w:t xml:space="preserve">that asset life impact may be revisited at a later date if additional study results present reason for further discussion. </w:t>
      </w:r>
    </w:p>
    <w:p w14:paraId="24ED63A0" w14:textId="77777777" w:rsidR="000272B0" w:rsidRDefault="000272B0" w:rsidP="009135BF">
      <w:pPr>
        <w:tabs>
          <w:tab w:val="left" w:pos="3431"/>
        </w:tabs>
      </w:pPr>
    </w:p>
    <w:p w14:paraId="4213A8DF" w14:textId="1EC3D664" w:rsidR="000272B0" w:rsidRDefault="000272B0" w:rsidP="00C6264E">
      <w:pPr>
        <w:pStyle w:val="Heading3"/>
        <w:numPr>
          <w:ilvl w:val="1"/>
          <w:numId w:val="2"/>
        </w:numPr>
      </w:pPr>
      <w:bookmarkStart w:id="33" w:name="_Toc500517306"/>
      <w:r>
        <w:t>Conservation voltage reduction (CVR)</w:t>
      </w:r>
      <w:bookmarkEnd w:id="33"/>
    </w:p>
    <w:p w14:paraId="22FEA9C6" w14:textId="77777777" w:rsidR="00C6264E" w:rsidRPr="00C6264E" w:rsidRDefault="00C6264E" w:rsidP="00C6264E">
      <w:pPr>
        <w:pStyle w:val="ListParagraph"/>
        <w:ind w:left="750"/>
      </w:pPr>
    </w:p>
    <w:p w14:paraId="07425240" w14:textId="7080469B" w:rsidR="000272B0" w:rsidRDefault="000272B0" w:rsidP="000272B0">
      <w:r>
        <w:t>The LNBA WG discussed a stakeholder proposal jointly submitted by SEIA and Tesla to create a locational value for CVR benefits that can be realized through utilities’ existing CVR schemes when DERs are available at the low-voltage customers on a distribution circuit, typically at the end of a circuit. This proposal states that distributed PV combined with smart inverters provide CVR benefits, primarily at the secondary level, that should be included as a value within LN</w:t>
      </w:r>
      <w:r w:rsidR="00120EC6">
        <w:t>B</w:t>
      </w:r>
      <w:r>
        <w:t xml:space="preserve">A. </w:t>
      </w:r>
    </w:p>
    <w:p w14:paraId="165A0F8F" w14:textId="64998495" w:rsidR="000272B0" w:rsidRDefault="000272B0" w:rsidP="000272B0">
      <w:r>
        <w:t>Existing utility CVR programs address voltage delivery oversupply by flattening distribution voltage profiles and meet Rule 2 standards.  CVR programs typically save 0.5-4% of energy consumption on individual circuits, and are often implemented on a large portion of a utility’s distribution grid. Distributed PV and smart inverters can enable greater savings from utility CVR programs because those programs typically only control utility-owned distribution voltage regulating equipment. Because distributed PV with smart inverters can increase or decrease the voltage at any individual customer location, these resources can be used to more granularly control customer voltages</w:t>
      </w:r>
      <w:r w:rsidR="00EA10B5">
        <w:t>.</w:t>
      </w:r>
    </w:p>
    <w:p w14:paraId="18139E2B" w14:textId="128A265B" w:rsidR="000272B0" w:rsidRDefault="000272B0" w:rsidP="000272B0">
      <w:r>
        <w:t xml:space="preserve">Tesla and SEIA propose to calculate the CVR benefit as a locational value for solar and smart inverter deployment on areas of distribution circuits with the lowest voltage. This value could be represented in the LNBA/ICA maps of the utilities’ distribution grids. </w:t>
      </w:r>
      <w:r w:rsidR="00F02378">
        <w:t xml:space="preserve">In their full written proposal, Tesla and SEIA provide formulas </w:t>
      </w:r>
      <w:r>
        <w:t>to compute the percentage voltage reduction made possible on a particular circuit by raising the voltage of the lowest-voltage secondary lines. This voltage reduction could then be converted to MWh of energy and MW of capacity – full details of this methodology are included in the written proposal</w:t>
      </w:r>
      <w:r w:rsidR="003E59B0">
        <w:t xml:space="preserve"> (see Appendix B).</w:t>
      </w:r>
      <w:r>
        <w:t xml:space="preserve">   If utilities do not have sufficient information on all of their secondary lines to develop a locationally-specific CVR value, SEIA and Tesla propose an alternative method where averaged CVR value (based on average contribution of solar PV and smart inverters to existing utility CVR programs) is integrated into the LNBA and included in instances where CVR is one of the benefits provided by DERs – for example, in the evaluation of a voltage management tariff developed in the Integrated Distributed Energy Resources proceeding.</w:t>
      </w:r>
    </w:p>
    <w:p w14:paraId="2CEDEB4E" w14:textId="4F9F1F67" w:rsidR="00375A23" w:rsidRDefault="000272B0" w:rsidP="000272B0">
      <w:r>
        <w:t>The LNBA WG is in non-consensus with regards to the proposed SEIA/Tesla methodology, with the Joint IOUs and TURN both submitt</w:t>
      </w:r>
      <w:r w:rsidR="005C2585">
        <w:t>ing</w:t>
      </w:r>
      <w:r>
        <w:t xml:space="preserve"> comments. The IOUs state that it is inappropriate to </w:t>
      </w:r>
      <w:r w:rsidR="00A81399">
        <w:t xml:space="preserve">use </w:t>
      </w:r>
      <w:r>
        <w:t xml:space="preserve">a system-wide value for CVR when the benefit is contingent upon smart inverter deployment in specific locations and quantities. The IOUs currently do not have the needed control capabilities to manage voltage-regulating equipment such that CVR could be enabled using distributed smart inverters. Finally, the </w:t>
      </w:r>
      <w:r w:rsidR="003E59B0">
        <w:t xml:space="preserve">IOUs state that the </w:t>
      </w:r>
      <w:r>
        <w:t xml:space="preserve">proposal improperly suggests calculating CVR benefits that are based on customer bill savings rather </w:t>
      </w:r>
      <w:r>
        <w:lastRenderedPageBreak/>
        <w:t>than utility avoided cost and refers to a value for smart inverters providing CVR that is mostly attributable to a voltage optimization scheme rather than to the smart inverters themselves.</w:t>
      </w:r>
      <w:r w:rsidRPr="00344034">
        <w:t xml:space="preserve"> </w:t>
      </w:r>
      <w:r>
        <w:t xml:space="preserve">None of the IOUs has comprehensively implemented this voltage optimization scheme which is both necessary to enable smart inverters’ ability to provide CVR and also which is responsible for the vast majority of energy savings from CVR. </w:t>
      </w:r>
    </w:p>
    <w:p w14:paraId="078D00C1" w14:textId="4F29653B" w:rsidR="005C2585" w:rsidRDefault="000272B0" w:rsidP="000272B0">
      <w:r>
        <w:t xml:space="preserve">TURN </w:t>
      </w:r>
      <w:r w:rsidR="00B94CF1">
        <w:t>asserts</w:t>
      </w:r>
      <w:r>
        <w:t xml:space="preserve"> any avoided cost or benefit included in the tool must be captured by all ratepayers</w:t>
      </w:r>
      <w:r w:rsidR="00B94CF1">
        <w:t xml:space="preserve"> </w:t>
      </w:r>
      <w:r>
        <w:t>and the inclusion of CVR</w:t>
      </w:r>
      <w:r w:rsidR="00A81399">
        <w:t xml:space="preserve"> within the LNBA tool</w:t>
      </w:r>
      <w:r>
        <w:t xml:space="preserve"> does not meet this principle</w:t>
      </w:r>
      <w:r w:rsidR="00B94CF1">
        <w:t xml:space="preserve">. They reason </w:t>
      </w:r>
      <w:r>
        <w:t xml:space="preserve">these benefits are based on active utility involvement that is not currently performed – currently, these benefits are only theoretical. TURN asks developers to continue working with utilities to implement and test CVR programs to demonstrate an actual avoided cost value. </w:t>
      </w:r>
      <w:r w:rsidR="009135BF">
        <w:tab/>
      </w:r>
    </w:p>
    <w:p w14:paraId="03920D99" w14:textId="396CACDD" w:rsidR="000674B5" w:rsidRDefault="000674B5" w:rsidP="00C6264E">
      <w:pPr>
        <w:pStyle w:val="Heading2"/>
        <w:numPr>
          <w:ilvl w:val="1"/>
          <w:numId w:val="2"/>
        </w:numPr>
      </w:pPr>
      <w:bookmarkStart w:id="34" w:name="_Toc500517307"/>
      <w:r>
        <w:t>Situational awareness</w:t>
      </w:r>
      <w:bookmarkEnd w:id="34"/>
    </w:p>
    <w:p w14:paraId="4D1BAA9A" w14:textId="77777777" w:rsidR="00C6264E" w:rsidRPr="00C6264E" w:rsidRDefault="00C6264E" w:rsidP="00C6264E">
      <w:pPr>
        <w:pStyle w:val="ListParagraph"/>
        <w:ind w:left="750"/>
      </w:pPr>
    </w:p>
    <w:p w14:paraId="15204B86" w14:textId="77777777" w:rsidR="000674B5" w:rsidRDefault="000674B5" w:rsidP="009135BF">
      <w:pPr>
        <w:tabs>
          <w:tab w:val="left" w:pos="3431"/>
        </w:tabs>
      </w:pPr>
      <w:r>
        <w:t>The concept of a DER distribution service related to data for grid visibility and situational awareness emerged during the IDER CSF WG discussions; however</w:t>
      </w:r>
      <w:r w:rsidR="00D51A62">
        <w:t>,</w:t>
      </w:r>
      <w:r>
        <w:t xml:space="preserve"> no consensus on the definition or viability of this service was reached. The June 7 ACR states that “value of data-as-service for situational intelligence is likely hard to quantify on avoided or marginal cost basis, and is driven to some degree by Commission policy on the use of DER data for grid operations and/or planning.” </w:t>
      </w:r>
    </w:p>
    <w:p w14:paraId="12FE1C37" w14:textId="3CFAED68" w:rsidR="000674B5" w:rsidRDefault="002C15A6" w:rsidP="009135BF">
      <w:pPr>
        <w:tabs>
          <w:tab w:val="left" w:pos="3431"/>
        </w:tabs>
      </w:pPr>
      <w:r>
        <w:t>The WG is in non-consensus with regards to</w:t>
      </w:r>
      <w:r w:rsidR="00147F49">
        <w:t xml:space="preserve"> whether a value for situational awareness is appropriate for the LNBA, how it may be calculated, and what are appropriate next steps. </w:t>
      </w:r>
      <w:r w:rsidR="00D51A62">
        <w:t>In WG discussions, two proposals for defining the benefit and quantifying the value of situational awareness were discussed</w:t>
      </w:r>
      <w:r w:rsidR="001F7D0C">
        <w:t>, one by the Joint IOUs and one by SEIA</w:t>
      </w:r>
      <w:r w:rsidR="00D51A62">
        <w:t>.</w:t>
      </w:r>
      <w:r w:rsidR="00147F49">
        <w:t xml:space="preserve"> These discussions helped expand understanding of this DER ser</w:t>
      </w:r>
      <w:r w:rsidR="00F305DA">
        <w:t xml:space="preserve">vice, primarily through exploration of what grid data may be provided by DERs, </w:t>
      </w:r>
      <w:r w:rsidR="009F668F">
        <w:t xml:space="preserve">how these data could </w:t>
      </w:r>
      <w:r w:rsidR="00F305DA">
        <w:t xml:space="preserve">assist IOUs, and whether this can or should be quantified within the LNBA tool. </w:t>
      </w:r>
    </w:p>
    <w:p w14:paraId="398D16DD" w14:textId="42D7A8EE" w:rsidR="00D51A62" w:rsidRDefault="00D51A62" w:rsidP="00D51A62">
      <w:pPr>
        <w:spacing w:after="0"/>
      </w:pPr>
      <w:r>
        <w:t>The joint IOUs proposed to define situational awareness as the provision to the utility distribution company (UDC) of grid information which is collected using DERs and which meets the following conditions: 1) the information meets a specified grid need for which the IOUs are planning an investment, 2) the information meets the data requirements as specified by the IOU (e.g. for data type, detail, frequency, location, voltage level, security, completeness, etc.), and 3) the information is not already required to be provided by the DER (e.g. as a requirement to interconnect).</w:t>
      </w:r>
      <w:r w:rsidR="001F7D0C">
        <w:t xml:space="preserve"> </w:t>
      </w:r>
      <w:r>
        <w:t>The value of this service would be equal to the avoided</w:t>
      </w:r>
      <w:r w:rsidR="003E59B0">
        <w:t xml:space="preserve"> revenue requirement </w:t>
      </w:r>
      <w:r>
        <w:t>of deferring the otherwise-needed capital investment calculated using the Real Economic Carrying Charge (RECC) method, or equal to the avoided RRQ associated with an expense that would otherwise be incurred to meet the same need.</w:t>
      </w:r>
    </w:p>
    <w:p w14:paraId="74B2EE8E" w14:textId="77777777" w:rsidR="00E90D76" w:rsidRDefault="00E90D76" w:rsidP="00D51A62">
      <w:pPr>
        <w:spacing w:after="0"/>
      </w:pPr>
    </w:p>
    <w:p w14:paraId="0F76A85D" w14:textId="1BC78A5E" w:rsidR="001F7D0C" w:rsidRDefault="00E90D76" w:rsidP="00D51A62">
      <w:pPr>
        <w:spacing w:after="0"/>
      </w:pPr>
      <w:r>
        <w:t xml:space="preserve">The SEIA proposal further discusses the type of grid information that DERs can provide. This includes voltage, frequency, outage information and loading information. This information can be used to 1) calculate gross load and better understand load profiles; 2) ID faults for faster service restoration; 3) provide data at a greater frequency than through existing communications infrastructure; and 4) provide nodal level data on power quality conditions. </w:t>
      </w:r>
      <w:r w:rsidR="001F7D0C">
        <w:t xml:space="preserve">SEIA proposes the value of this service as the avoided cost </w:t>
      </w:r>
      <w:r w:rsidR="002C15A6">
        <w:t xml:space="preserve">of </w:t>
      </w:r>
      <w:r w:rsidR="001F7D0C">
        <w:t>other equipment needed to provide the utilities with situational awareness that would otherwise need to be deployed in the absence of DER equipment providing these services</w:t>
      </w:r>
      <w:r w:rsidR="002C15A6">
        <w:t xml:space="preserve">, including: avoided cost of additional bandwidth needed on wireless communication networks to backhaul data; avoided cost of </w:t>
      </w:r>
      <w:r w:rsidR="002C15A6">
        <w:lastRenderedPageBreak/>
        <w:t>additional metering for on-site generation to calculate gross load; reduced truck rolls from improved fault location; and avoided cost of line sensors</w:t>
      </w:r>
      <w:r w:rsidR="001F7D0C">
        <w:t xml:space="preserve">. These investment costs can be estimated from utilities’ GRCs and </w:t>
      </w:r>
      <w:r w:rsidR="009F668F">
        <w:t>Advanced Metering Infrastructure (</w:t>
      </w:r>
      <w:r w:rsidR="001F7D0C">
        <w:t>AMI</w:t>
      </w:r>
      <w:r w:rsidR="009F668F">
        <w:t>)</w:t>
      </w:r>
      <w:r w:rsidR="001F7D0C">
        <w:t xml:space="preserve"> Applications. </w:t>
      </w:r>
    </w:p>
    <w:p w14:paraId="5625A51E" w14:textId="77777777" w:rsidR="00D51A62" w:rsidRDefault="00D51A62" w:rsidP="00D51A62">
      <w:pPr>
        <w:spacing w:after="0"/>
      </w:pPr>
    </w:p>
    <w:p w14:paraId="7D3C459D" w14:textId="77777777" w:rsidR="001B1974" w:rsidRDefault="00250653" w:rsidP="00D51A62">
      <w:pPr>
        <w:spacing w:after="0"/>
      </w:pPr>
      <w:r>
        <w:t xml:space="preserve">The Joint IOUs argue that the services identified by SEIA are insufficient in addressing IOUs’ situational awareness needs, and do not result in a clear avoided cost that may be included in the LNBA. </w:t>
      </w:r>
      <w:r w:rsidR="001B1974">
        <w:t xml:space="preserve">With regards to calculating gross loads, the IOUs note that DERs do not provide load information, only output information. Further, DER generation data could only be obtained from a subset of DERs with sufficiently reliable communication. With regards to fault identification, the IOUs note that DERs can only provide data that is obtained by the IOUs today via AMI data, and that the DER cannot actually locate the faulted circuit segment, particularly for outages spanning multiple circuits – thus, DERs cannot provide the necessary precise fault information currently provided by line sensors, SCADA data, and fault indicators. With regards to power quality, the IOUs note that </w:t>
      </w:r>
      <w:r w:rsidR="00147F49">
        <w:t>DERs cannot provide voltage information on the primary distribution system, while utility AMI systems can. Further, reporting frequency from AMI systems can be increased if necessary and justified (currently they report once a day). Finally, the IOUs note that while real-time generation output information is useful, real-time outage or power quality information provided by DERs is not useful and thus should not be valued as a benefit of DERs within the LNBA.</w:t>
      </w:r>
    </w:p>
    <w:p w14:paraId="0C479073" w14:textId="77777777" w:rsidR="00250653" w:rsidRDefault="00250653" w:rsidP="00D51A62">
      <w:pPr>
        <w:spacing w:after="0"/>
      </w:pPr>
    </w:p>
    <w:p w14:paraId="307D3B5C" w14:textId="6678882D" w:rsidR="002C15A6" w:rsidRDefault="002C15A6" w:rsidP="00147F49">
      <w:pPr>
        <w:spacing w:after="0"/>
      </w:pPr>
      <w:r>
        <w:t xml:space="preserve">Within written comments, WG members engaged in discussion on avoided costs from data collection, </w:t>
      </w:r>
      <w:r w:rsidR="00250653">
        <w:t xml:space="preserve">additional hidden costs of DERs providing grid data, minimum interconnection requirements for smart inverter-based DERs, and whether DERs should instead </w:t>
      </w:r>
      <w:r w:rsidR="00DE7393">
        <w:t xml:space="preserve">market </w:t>
      </w:r>
      <w:r w:rsidR="00250653">
        <w:t>data services</w:t>
      </w:r>
      <w:r w:rsidR="00DE7393">
        <w:t xml:space="preserve"> on a competitive basis</w:t>
      </w:r>
      <w:r w:rsidR="00250653">
        <w:t xml:space="preserve"> to the IOUs rather than being assessed as a value within LNBA. </w:t>
      </w:r>
    </w:p>
    <w:p w14:paraId="4705B0C1" w14:textId="77777777" w:rsidR="005C2585" w:rsidRDefault="005C2585" w:rsidP="00147F49">
      <w:pPr>
        <w:spacing w:after="0"/>
      </w:pPr>
    </w:p>
    <w:p w14:paraId="26C1A906" w14:textId="2B20DD06" w:rsidR="005C2585" w:rsidRDefault="005C2585" w:rsidP="00F02378">
      <w:r>
        <w:t>In determining next steps, it would be helpful for the Commission to further explore</w:t>
      </w:r>
      <w:r w:rsidR="00F02378">
        <w:t xml:space="preserve"> w</w:t>
      </w:r>
      <w:r>
        <w:t>hat additional information is needed to verify claims with regards to whether DER can sufficiently provide situational awareness services</w:t>
      </w:r>
      <w:r w:rsidR="00F02378">
        <w:t xml:space="preserve">. </w:t>
      </w:r>
    </w:p>
    <w:p w14:paraId="4F5AF902" w14:textId="77777777" w:rsidR="00147F49" w:rsidRDefault="00147F49" w:rsidP="00147F49">
      <w:pPr>
        <w:spacing w:after="0"/>
      </w:pPr>
    </w:p>
    <w:p w14:paraId="251CF554" w14:textId="620AE123" w:rsidR="000674B5" w:rsidRDefault="00230B92" w:rsidP="00C6264E">
      <w:pPr>
        <w:pStyle w:val="Heading2"/>
        <w:numPr>
          <w:ilvl w:val="1"/>
          <w:numId w:val="2"/>
        </w:numPr>
      </w:pPr>
      <w:r>
        <w:t xml:space="preserve"> </w:t>
      </w:r>
      <w:bookmarkStart w:id="35" w:name="_Toc500517308"/>
      <w:r w:rsidR="00DA7240">
        <w:t>Non-capacity related reliability benefits</w:t>
      </w:r>
      <w:bookmarkEnd w:id="35"/>
    </w:p>
    <w:p w14:paraId="07501FF4" w14:textId="77777777" w:rsidR="00C6264E" w:rsidRPr="00C6264E" w:rsidRDefault="00C6264E" w:rsidP="00C6264E">
      <w:pPr>
        <w:pStyle w:val="ListParagraph"/>
        <w:ind w:left="750"/>
      </w:pPr>
    </w:p>
    <w:p w14:paraId="62FC5A93" w14:textId="77777777" w:rsidR="00AF0DD7" w:rsidRDefault="00091E23" w:rsidP="009135BF">
      <w:pPr>
        <w:tabs>
          <w:tab w:val="left" w:pos="3431"/>
        </w:tabs>
      </w:pPr>
      <w:r>
        <w:t xml:space="preserve">DERs may provide value in providing increased reliability via outage frequency reduction. In Demo B, non-capacity related reliability projects were identified as either deferrable or non-deferrable. In Demo B, deferrable projects were identified as back-tie and microgrid projects, while non-deferrable projects </w:t>
      </w:r>
      <w:r w:rsidRPr="00091E23">
        <w:t>were identified as fault-related projects and standards violation projects. The</w:t>
      </w:r>
      <w:r>
        <w:t xml:space="preserve"> WG discussed whether additional projects outside of projects providing back-tie capacity and microgrids services produce reliability benefits that should be captured within the LNBA tool.</w:t>
      </w:r>
    </w:p>
    <w:p w14:paraId="062BA90D" w14:textId="77777777" w:rsidR="00AF0DD7" w:rsidRPr="00F02378" w:rsidRDefault="00AF0DD7" w:rsidP="009135BF">
      <w:pPr>
        <w:tabs>
          <w:tab w:val="left" w:pos="3431"/>
        </w:tabs>
      </w:pPr>
      <w:r>
        <w:t xml:space="preserve">The WG is in consensus with regards to the characterization of non-capacity reliability projects to include: 1) detecting faults on the grid (e.g., circuit breakers, automatic reclosers), 2) locating faults on the grid (e.g., sensing equipment); 3) sectionalizing </w:t>
      </w:r>
      <w:r w:rsidR="00160BB6">
        <w:t xml:space="preserve">circuits to minimize the impacts of faults (e.g., switches); and 4) fixing standards violations (e.g., reconfigure underground structure or distribution </w:t>
      </w:r>
      <w:r w:rsidR="00160BB6" w:rsidRPr="00F02378">
        <w:t>pole).</w:t>
      </w:r>
    </w:p>
    <w:p w14:paraId="5400FD90" w14:textId="77777777" w:rsidR="00091E23" w:rsidRDefault="00091E23" w:rsidP="009135BF">
      <w:pPr>
        <w:tabs>
          <w:tab w:val="left" w:pos="3431"/>
        </w:tabs>
      </w:pPr>
      <w:r w:rsidRPr="00F02378">
        <w:lastRenderedPageBreak/>
        <w:t xml:space="preserve"> The WG is in non-consensus </w:t>
      </w:r>
      <w:r w:rsidR="008F4457" w:rsidRPr="00F02378">
        <w:t>with regards</w:t>
      </w:r>
      <w:r w:rsidR="008F4457">
        <w:t xml:space="preserve"> to defining the additional reliability benefits that should be valued within LNBA and how to appropriately account for their value. </w:t>
      </w:r>
      <w:r w:rsidR="00911E15">
        <w:t>Among these project types, the WG agrees that DERs cannot address standard violations. However, the WG is in non-consensus over whether DERs can provide the same reliability improvements that traditional utility investments could provide, and how they should be appropriately valued.</w:t>
      </w:r>
    </w:p>
    <w:p w14:paraId="450C4CBD" w14:textId="390D1EC2" w:rsidR="00242302" w:rsidRDefault="00242302" w:rsidP="009135BF">
      <w:pPr>
        <w:tabs>
          <w:tab w:val="left" w:pos="3431"/>
        </w:tabs>
      </w:pPr>
      <w:r>
        <w:t>The IOUs’ proposal identifies how DERs may provide some of these grid services but cannot fully replace or defer the need for these investments. While circuit breakers and automatic reclosers both detect faults and de-energize equipment for public safety, DERs cannot de-energize circuits and therefore cannot replace traditional breakers and reclosers. Switches on a circuit can isolat</w:t>
      </w:r>
      <w:r w:rsidR="00E6218A">
        <w:t>e</w:t>
      </w:r>
      <w:r>
        <w:t xml:space="preserve"> and de-energize a portion of a circuit, and transfer customers from one circuit to a neighboring circuit, while DERs cannot. Further, DERs cannot defer or replace fault indicators as they do not provide specific locational information to identify where the issue lies on the circuit segment.</w:t>
      </w:r>
      <w:r w:rsidR="00911E15">
        <w:t xml:space="preserve"> Finally, for utilities to truly avoid the need for reliability-driven grid modernization investments, customers would need to each </w:t>
      </w:r>
      <w:r w:rsidR="00FB3038">
        <w:t xml:space="preserve">install </w:t>
      </w:r>
      <w:r w:rsidR="00911E15">
        <w:t xml:space="preserve">their own backup generation, which is less cost-effective than utility-driven </w:t>
      </w:r>
      <w:r w:rsidR="00FB3038">
        <w:t xml:space="preserve">investment – and in this situation, utilities would still need to invest in equipment to identify faults and restore service, to support customers coming off backup generation. </w:t>
      </w:r>
    </w:p>
    <w:p w14:paraId="03E8B6D2" w14:textId="77777777" w:rsidR="00560E37" w:rsidRDefault="00242302" w:rsidP="00B20DFF">
      <w:r>
        <w:t>The SEIA proposal argues that only considering back-tie projects and microgrid services provid</w:t>
      </w:r>
      <w:r w:rsidR="00AF0DD7">
        <w:t>es a narrow valuation of DERs</w:t>
      </w:r>
      <w:r w:rsidR="00911E15">
        <w:t>, and does not account for their ability to reduce customer outages. DERs should not be compared to traditional equipment on a one-on-one basis (e.g., comparing a solar plus storage system against a fault indicator or switch) given their different functionality. However, it is reasonable to consider the ability of these resources to offset costs that might otherwise be addressed through utility grid modernization investments for improved reliability. SEIA proposes two possible methods to quantify this value. The first is to consider the value of lost load to the utility customers who would otherwise be subject to power outages. The second is to consider utility investments in infrastructure that have been approved or proposed in GRCs for the purpose of improving reliability and resiliency. SEIA reasons that it is likely more appropriate to use the latter method and pull data from GRCs to determine a standard cost to reduce service disruption or restoration of service. This value could be made location-specific by accounting for location-specific measures of reliability.</w:t>
      </w:r>
      <w:r w:rsidR="00AF0DD7">
        <w:t xml:space="preserve"> </w:t>
      </w:r>
      <w:r>
        <w:t xml:space="preserve"> </w:t>
      </w:r>
    </w:p>
    <w:p w14:paraId="11BA46B2" w14:textId="4F8400AF" w:rsidR="00FB3038" w:rsidRDefault="000E5D58" w:rsidP="00C6264E">
      <w:pPr>
        <w:pStyle w:val="Heading2"/>
        <w:numPr>
          <w:ilvl w:val="1"/>
          <w:numId w:val="2"/>
        </w:numPr>
      </w:pPr>
      <w:bookmarkStart w:id="36" w:name="_Toc500517309"/>
      <w:r>
        <w:t>Valuing unplanned grid needs beyond 10 years</w:t>
      </w:r>
      <w:bookmarkEnd w:id="36"/>
    </w:p>
    <w:p w14:paraId="1B2758BD" w14:textId="77777777" w:rsidR="00C6264E" w:rsidRPr="00C6264E" w:rsidRDefault="00C6264E" w:rsidP="00C6264E">
      <w:pPr>
        <w:pStyle w:val="ListParagraph"/>
        <w:ind w:left="750"/>
      </w:pPr>
    </w:p>
    <w:p w14:paraId="3236DB2E" w14:textId="4761CE58" w:rsidR="000E5D58" w:rsidRDefault="002A6D33" w:rsidP="00B20DFF">
      <w:r>
        <w:t>The WG discussed how unplanned grid needs may be defined, both within a 10</w:t>
      </w:r>
      <w:r w:rsidR="0054521B">
        <w:t>-</w:t>
      </w:r>
      <w:r>
        <w:t xml:space="preserve">year planning horizon and beyond 10 years. </w:t>
      </w:r>
      <w:r w:rsidR="000E5D58">
        <w:t>Valuing unplanned grid needs and providing a long-term value for DERs was discussed both in the context of modifying the existing LNBA tool as well as in the context of the IOU methodology to serve the cost-effectiveness use case. The WG defers all conversation with regards to the cost-effectiveness use case to the separate process to be established by the CPUC Energy Division. However, some discussion points</w:t>
      </w:r>
      <w:r>
        <w:t xml:space="preserve"> to date</w:t>
      </w:r>
      <w:r w:rsidR="000E5D58">
        <w:t xml:space="preserve"> are noted in the written proposals, written comments, and meeting notes from this WG process. </w:t>
      </w:r>
    </w:p>
    <w:p w14:paraId="7D83363E" w14:textId="77777777" w:rsidR="000E5D58" w:rsidRDefault="000E5D58" w:rsidP="00B20DFF">
      <w:r>
        <w:t>With regards to</w:t>
      </w:r>
      <w:r w:rsidR="00ED3CEB">
        <w:t xml:space="preserve"> unplanned grid needs within the planning horizon that can be captured within the</w:t>
      </w:r>
      <w:r>
        <w:t xml:space="preserve"> existing LNBA tool, </w:t>
      </w:r>
      <w:r w:rsidR="00ED3CEB">
        <w:t xml:space="preserve">the WG is in non-consensus on how unplanned needs should be defined. </w:t>
      </w:r>
    </w:p>
    <w:p w14:paraId="2DC4F41E" w14:textId="50414BF3" w:rsidR="00ED3CEB" w:rsidRDefault="009B302D" w:rsidP="00B20DFF">
      <w:r>
        <w:t xml:space="preserve">The Joint IOUs propose that unplanned needs </w:t>
      </w:r>
      <w:r w:rsidR="002A6D33">
        <w:t>exist primarily as large</w:t>
      </w:r>
      <w:r w:rsidR="003E59B0">
        <w:t>,</w:t>
      </w:r>
      <w:r w:rsidR="002A6D33">
        <w:t xml:space="preserve"> spot capacity needs (e.g., a large casino development)</w:t>
      </w:r>
      <w:r w:rsidR="00BE7053">
        <w:t xml:space="preserve">, many existing at the grid edge with limited existing </w:t>
      </w:r>
      <w:r w:rsidR="00B014A6">
        <w:t>infrastructure</w:t>
      </w:r>
      <w:r w:rsidR="002A6D33">
        <w:t xml:space="preserve">. These needs, </w:t>
      </w:r>
      <w:r w:rsidR="002A6D33">
        <w:lastRenderedPageBreak/>
        <w:t xml:space="preserve">due to their timing and size, are not considered deferrable by DERs. </w:t>
      </w:r>
      <w:r w:rsidR="00B014A6">
        <w:t>In contrast, t</w:t>
      </w:r>
      <w:r w:rsidR="002A6D33">
        <w:t>he vast majority of projects are included within the growth forecasts. To limit the possibility of unplanned grid investments, the IOUs propose to continue refining the forecasting process and potentially shorten the presumed window of DER implementation through the Demo C process. Going forward</w:t>
      </w:r>
      <w:r w:rsidR="00224A17">
        <w:t>, the IOUs propose to track the number and amount spent on unplanned capacity investments to better understand the dollar value associated with unplanned grid investments. However, the IOUs do not think it is appropriate to assess</w:t>
      </w:r>
      <w:r w:rsidR="007B7532">
        <w:t xml:space="preserve"> the value of</w:t>
      </w:r>
      <w:r w:rsidR="00224A17">
        <w:t xml:space="preserve"> DERs at any one location for deferring unplanned grid investments, as the risk of overpaying for DER services outweighs the small number of unplanned grid investments that will likely arise.</w:t>
      </w:r>
      <w:r w:rsidR="002A6D33">
        <w:t xml:space="preserve"> </w:t>
      </w:r>
    </w:p>
    <w:p w14:paraId="77D5E5A8" w14:textId="1C128750" w:rsidR="002A6D33" w:rsidRDefault="00BE7053" w:rsidP="00B20DFF">
      <w:r w:rsidRPr="00F02378">
        <w:t>Non-IOU s</w:t>
      </w:r>
      <w:r w:rsidR="002A6D33" w:rsidRPr="00F02378">
        <w:t>takeholders have</w:t>
      </w:r>
      <w:r w:rsidR="00224A17" w:rsidRPr="00F02378">
        <w:t xml:space="preserve"> raised concerns that this this definition of unplanned needs</w:t>
      </w:r>
      <w:r w:rsidR="000E1EA4">
        <w:t xml:space="preserve"> for the deferral use case</w:t>
      </w:r>
      <w:r w:rsidR="003E59B0" w:rsidRPr="00F02378">
        <w:t>, while it may apply to large spot capacity projects</w:t>
      </w:r>
      <w:r w:rsidR="003E59B0">
        <w:t>,</w:t>
      </w:r>
      <w:r w:rsidR="00224A17">
        <w:t xml:space="preserve"> may not apply to voltage-related projects. The WG discussed that, under existing planning and DER sourcing approaches, it is difficult to identify voltage projects that fit a specific targeted deferral. Voltage-only upgrades are fairly inexpensive compared to capacity projects, so utilities use a blanket budget rather than an identified line item budget to account for voltage upgrade needs on a system wide basis. </w:t>
      </w:r>
    </w:p>
    <w:p w14:paraId="63D8582A" w14:textId="77777777" w:rsidR="008B211A" w:rsidRDefault="008B211A" w:rsidP="00B20DFF">
      <w:r>
        <w:t xml:space="preserve">Further, planned projects which are not clearly identified in time to enter the solicitation process can still benefit from incremental DER adoption, which can delay the urgency of a project and create additional flexibility for the IOUs with regards to engineering and construction resources. Non-IOU stakeholders note that this </w:t>
      </w:r>
      <w:r w:rsidR="000C175F">
        <w:t xml:space="preserve">benefit should be clearly reflected in the IOUs’ methodology proposals to meet the cost-effectiveness use case. </w:t>
      </w:r>
    </w:p>
    <w:p w14:paraId="79D12239" w14:textId="45D1DF18" w:rsidR="0051074E" w:rsidRPr="001960E2" w:rsidRDefault="002A6D33" w:rsidP="00B20DFF">
      <w:pPr>
        <w:rPr>
          <w:i/>
        </w:rPr>
      </w:pPr>
      <w:r w:rsidRPr="00347D45">
        <w:t>With regards to unplanned grid needs outside of the 10</w:t>
      </w:r>
      <w:r w:rsidR="00C57F6E">
        <w:t>-</w:t>
      </w:r>
      <w:r w:rsidRPr="00347D45">
        <w:t xml:space="preserve">year planning horizon, the WG is in non-consensus on how this should be valued. </w:t>
      </w:r>
      <w:r w:rsidR="003326BB" w:rsidRPr="00347D45">
        <w:t>The WG sees that issue is more germane to the cost-effectiveness use case than the deferral use case</w:t>
      </w:r>
      <w:r w:rsidR="00287ED0" w:rsidRPr="00347D45">
        <w:t>, and defers discussion with regards to the cost-effectiveness use case to the separate Energy Division-led process on the third LNBA use case</w:t>
      </w:r>
      <w:r w:rsidR="003326BB">
        <w:rPr>
          <w:i/>
        </w:rPr>
        <w:t>.</w:t>
      </w:r>
      <w:r w:rsidR="00F02378" w:rsidRPr="001960E2">
        <w:rPr>
          <w:i/>
        </w:rPr>
        <w:t xml:space="preserve"> </w:t>
      </w:r>
    </w:p>
    <w:p w14:paraId="2E1AA5FD" w14:textId="746E1BAB" w:rsidR="00347D45" w:rsidRDefault="00347D45" w:rsidP="00C6264E">
      <w:pPr>
        <w:pStyle w:val="Heading2"/>
        <w:numPr>
          <w:ilvl w:val="0"/>
          <w:numId w:val="2"/>
        </w:numPr>
      </w:pPr>
      <w:bookmarkStart w:id="37" w:name="_Toc500517310"/>
      <w:r>
        <w:t>Topics not covered</w:t>
      </w:r>
      <w:bookmarkEnd w:id="37"/>
    </w:p>
    <w:p w14:paraId="095DF883" w14:textId="77777777" w:rsidR="002901EE" w:rsidRPr="002901EE" w:rsidRDefault="002901EE" w:rsidP="002901EE"/>
    <w:p w14:paraId="726C0A1A" w14:textId="4A9834CC" w:rsidR="00347D45" w:rsidRDefault="00347D45" w:rsidP="00347D45">
      <w:r>
        <w:t xml:space="preserve">The July 7 ACR identified four </w:t>
      </w:r>
      <w:r w:rsidR="002901EE">
        <w:t xml:space="preserve">Group III topics as: “value proposition is speculative and potentially low; Working Group should only address these issues if time permits.” The WG did not address the following two topics: 1) benefits of DERs reducing the frequency/scope of maintenance projects; and 2) benefits of DER penetration allowing for downsized replacement equipment. </w:t>
      </w:r>
    </w:p>
    <w:p w14:paraId="238555D0" w14:textId="322F8CDA" w:rsidR="001A0BFE" w:rsidRDefault="001A0BFE">
      <w:r>
        <w:br w:type="page"/>
      </w:r>
    </w:p>
    <w:p w14:paraId="653B55F1" w14:textId="051126F6" w:rsidR="009E7CC4" w:rsidRDefault="001A0BFE" w:rsidP="001A0BFE">
      <w:pPr>
        <w:pStyle w:val="Heading1"/>
      </w:pPr>
      <w:bookmarkStart w:id="38" w:name="_Hlk500510705"/>
      <w:bookmarkStart w:id="39" w:name="_Toc500517311"/>
      <w:r>
        <w:lastRenderedPageBreak/>
        <w:t>Appendix</w:t>
      </w:r>
      <w:r w:rsidR="00FF3F72">
        <w:t xml:space="preserve"> A</w:t>
      </w:r>
      <w:bookmarkEnd w:id="39"/>
    </w:p>
    <w:p w14:paraId="7E106B6D" w14:textId="1956BCA0" w:rsidR="00FF3F72" w:rsidRDefault="00FF3F72" w:rsidP="00FF3F72">
      <w:r w:rsidRPr="00A574EF">
        <w:rPr>
          <w:highlight w:val="yellow"/>
        </w:rPr>
        <w:t>Summary of WG meetings (MTS to fill in at later date based off DRP website)</w:t>
      </w:r>
    </w:p>
    <w:p w14:paraId="2F8F0F7B" w14:textId="1E51B4DB" w:rsidR="00FF3F72" w:rsidRDefault="00FF3F72">
      <w:r>
        <w:br w:type="page"/>
      </w:r>
    </w:p>
    <w:p w14:paraId="3F9400DD" w14:textId="01D350C3" w:rsidR="00FF3F72" w:rsidRDefault="00FF3F72" w:rsidP="00FF3F72">
      <w:pPr>
        <w:pStyle w:val="Heading1"/>
      </w:pPr>
      <w:bookmarkStart w:id="40" w:name="_Toc500517312"/>
      <w:r>
        <w:lastRenderedPageBreak/>
        <w:t>Appendix B</w:t>
      </w:r>
      <w:bookmarkEnd w:id="40"/>
    </w:p>
    <w:bookmarkEnd w:id="38"/>
    <w:p w14:paraId="323DEB7B" w14:textId="34AEBEF8" w:rsidR="001A0BFE" w:rsidRPr="001A0BFE" w:rsidRDefault="00A574EF" w:rsidP="001A0BFE">
      <w:r w:rsidRPr="00ED06AA">
        <w:rPr>
          <w:highlight w:val="yellow"/>
        </w:rPr>
        <w:t>Written Proposals (will reflect all materials posted on DRPWG.org)</w:t>
      </w:r>
    </w:p>
    <w:sectPr w:rsidR="001A0BFE" w:rsidRPr="001A0BFE">
      <w:headerReference w:type="default" r:id="rId11"/>
      <w:footerReference w:type="default" r:id="rId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Laura Wang" w:date="2017-12-04T07:39:00Z" w:initials="LW">
    <w:p w14:paraId="1B5E4D34" w14:textId="77777777" w:rsidR="00F02378" w:rsidRDefault="00F02378">
      <w:pPr>
        <w:pStyle w:val="CommentText"/>
      </w:pPr>
      <w:r>
        <w:rPr>
          <w:rStyle w:val="CommentReference"/>
        </w:rPr>
        <w:annotationRef/>
      </w:r>
      <w:r>
        <w:t>To-date, our list of active contributors is:</w:t>
      </w:r>
    </w:p>
    <w:p w14:paraId="13A09FCB" w14:textId="23A67106" w:rsidR="00F02378" w:rsidRDefault="00F02378" w:rsidP="0034206B">
      <w:pPr>
        <w:pStyle w:val="CommentText"/>
        <w:numPr>
          <w:ilvl w:val="0"/>
          <w:numId w:val="19"/>
        </w:numPr>
      </w:pPr>
      <w:r>
        <w:t xml:space="preserve">CAISO (transmission subgroup) </w:t>
      </w:r>
    </w:p>
    <w:p w14:paraId="3F81B5B7" w14:textId="7887FA77" w:rsidR="00F02378" w:rsidRDefault="00F02378" w:rsidP="0034206B">
      <w:pPr>
        <w:pStyle w:val="CommentText"/>
        <w:numPr>
          <w:ilvl w:val="0"/>
          <w:numId w:val="19"/>
        </w:numPr>
      </w:pPr>
      <w:r>
        <w:t>CALSEIA</w:t>
      </w:r>
    </w:p>
    <w:p w14:paraId="017AB592" w14:textId="42370EEA" w:rsidR="00F02378" w:rsidRDefault="00F02378" w:rsidP="0034206B">
      <w:pPr>
        <w:pStyle w:val="CommentText"/>
        <w:numPr>
          <w:ilvl w:val="0"/>
          <w:numId w:val="19"/>
        </w:numPr>
      </w:pPr>
      <w:r>
        <w:t>Clean Coalition</w:t>
      </w:r>
    </w:p>
    <w:p w14:paraId="5543FBFA" w14:textId="29A56AA9" w:rsidR="00F02378" w:rsidRDefault="00F02378" w:rsidP="0034206B">
      <w:pPr>
        <w:pStyle w:val="CommentText"/>
        <w:numPr>
          <w:ilvl w:val="0"/>
          <w:numId w:val="19"/>
        </w:numPr>
      </w:pPr>
      <w:r>
        <w:t>ORA</w:t>
      </w:r>
    </w:p>
    <w:p w14:paraId="46891156" w14:textId="2DC02615" w:rsidR="00F02378" w:rsidRDefault="00F02378" w:rsidP="0034206B">
      <w:pPr>
        <w:pStyle w:val="CommentText"/>
        <w:numPr>
          <w:ilvl w:val="0"/>
          <w:numId w:val="19"/>
        </w:numPr>
      </w:pPr>
      <w:r>
        <w:t>PGE</w:t>
      </w:r>
    </w:p>
    <w:p w14:paraId="227AD19E" w14:textId="77777777" w:rsidR="00F02378" w:rsidRDefault="00F02378" w:rsidP="0034206B">
      <w:pPr>
        <w:pStyle w:val="CommentText"/>
        <w:numPr>
          <w:ilvl w:val="0"/>
          <w:numId w:val="19"/>
        </w:numPr>
      </w:pPr>
      <w:r>
        <w:t>SCE</w:t>
      </w:r>
    </w:p>
    <w:p w14:paraId="5A76F553" w14:textId="77777777" w:rsidR="00F02378" w:rsidRDefault="00F02378" w:rsidP="0034206B">
      <w:pPr>
        <w:pStyle w:val="CommentText"/>
        <w:numPr>
          <w:ilvl w:val="0"/>
          <w:numId w:val="19"/>
        </w:numPr>
      </w:pPr>
      <w:r>
        <w:t>SDG&amp;E</w:t>
      </w:r>
    </w:p>
    <w:p w14:paraId="2582800C" w14:textId="2C8A9887" w:rsidR="00F02378" w:rsidRDefault="00F02378" w:rsidP="0034206B">
      <w:pPr>
        <w:pStyle w:val="CommentText"/>
        <w:numPr>
          <w:ilvl w:val="0"/>
          <w:numId w:val="19"/>
        </w:numPr>
      </w:pPr>
      <w:r>
        <w:t xml:space="preserve">SEIA </w:t>
      </w:r>
    </w:p>
    <w:p w14:paraId="5C0A45FD" w14:textId="49F99FDF" w:rsidR="00F02378" w:rsidRDefault="00F02378" w:rsidP="0034206B">
      <w:pPr>
        <w:pStyle w:val="CommentText"/>
        <w:numPr>
          <w:ilvl w:val="0"/>
          <w:numId w:val="19"/>
        </w:numPr>
      </w:pPr>
      <w:r>
        <w:t>STEM</w:t>
      </w:r>
    </w:p>
    <w:p w14:paraId="08771CFC" w14:textId="7E7E8BE7" w:rsidR="00F02378" w:rsidRDefault="00F02378" w:rsidP="0034206B">
      <w:pPr>
        <w:pStyle w:val="CommentText"/>
        <w:numPr>
          <w:ilvl w:val="0"/>
          <w:numId w:val="19"/>
        </w:numPr>
      </w:pPr>
      <w:r>
        <w:t xml:space="preserve">Tesla </w:t>
      </w:r>
    </w:p>
    <w:p w14:paraId="57CA13AE" w14:textId="434AA7A1" w:rsidR="00F02378" w:rsidRDefault="00F02378" w:rsidP="0034206B">
      <w:pPr>
        <w:pStyle w:val="CommentText"/>
        <w:numPr>
          <w:ilvl w:val="0"/>
          <w:numId w:val="19"/>
        </w:numPr>
      </w:pPr>
      <w:r>
        <w:t>TURN</w:t>
      </w:r>
    </w:p>
    <w:p w14:paraId="220DAB06" w14:textId="0498ECE0" w:rsidR="00F02378" w:rsidRDefault="00F02378" w:rsidP="0034206B">
      <w:pPr>
        <w:pStyle w:val="CommentText"/>
      </w:pPr>
      <w:r>
        <w:t>Please let me know if I have forgotten anyone. Thanks!</w:t>
      </w:r>
    </w:p>
  </w:comment>
  <w:comment w:id="7" w:author="Laura Wang" w:date="2017-12-08T12:00:00Z" w:initials="LW">
    <w:p w14:paraId="1CCC7EEE" w14:textId="50AD2299" w:rsidR="00F02378" w:rsidRDefault="00F02378">
      <w:pPr>
        <w:pStyle w:val="CommentText"/>
      </w:pPr>
      <w:r>
        <w:rPr>
          <w:rStyle w:val="CommentReference"/>
        </w:rPr>
        <w:annotationRef/>
      </w:r>
      <w:r>
        <w:t>If written comments were not submitted, the item has been marked as consensus and the recommendation from the written proposal was taken</w:t>
      </w:r>
    </w:p>
  </w:comment>
  <w:comment w:id="11" w:author="Laura Wang" w:date="2017-11-30T11:06:00Z" w:initials="LW">
    <w:p w14:paraId="4DC6FF58" w14:textId="21FC6648" w:rsidR="00F02378" w:rsidRDefault="00F02378" w:rsidP="000272B0">
      <w:pPr>
        <w:pStyle w:val="CommentText"/>
      </w:pPr>
      <w:r>
        <w:rPr>
          <w:rStyle w:val="CommentReference"/>
        </w:rPr>
        <w:annotationRef/>
      </w:r>
      <w:r>
        <w:t xml:space="preserve">No WG comments were filed – is there WG consensus here? </w:t>
      </w:r>
    </w:p>
  </w:comment>
  <w:comment w:id="14" w:author="Laura Wang" w:date="2017-11-30T17:27:00Z" w:initials="LW">
    <w:p w14:paraId="663EB4E6" w14:textId="484BC925" w:rsidR="00F02378" w:rsidRDefault="00F02378" w:rsidP="000272B0">
      <w:pPr>
        <w:pStyle w:val="CommentText"/>
      </w:pPr>
      <w:r>
        <w:rPr>
          <w:rStyle w:val="CommentReference"/>
        </w:rPr>
        <w:annotationRef/>
      </w:r>
      <w:r>
        <w:rPr>
          <w:rStyle w:val="CommentReference"/>
        </w:rPr>
        <w:t>No comments received so taken as consensus</w:t>
      </w:r>
    </w:p>
  </w:comment>
  <w:comment w:id="18" w:author="Laura Wang" w:date="2017-12-04T09:02:00Z" w:initials="LW">
    <w:p w14:paraId="1B243C92" w14:textId="5ED1022D" w:rsidR="00F02378" w:rsidRDefault="00F02378">
      <w:pPr>
        <w:pStyle w:val="CommentText"/>
      </w:pPr>
      <w:r>
        <w:rPr>
          <w:rStyle w:val="CommentReference"/>
        </w:rPr>
        <w:annotationRef/>
      </w:r>
      <w:r>
        <w:t>WG input on appropriate default inputs needed</w:t>
      </w:r>
    </w:p>
  </w:comment>
  <w:comment w:id="19" w:author="Laura Wang" w:date="2017-12-04T09:08:00Z" w:initials="LW">
    <w:p w14:paraId="773A6FC9" w14:textId="2EB2E96A" w:rsidR="00F02378" w:rsidRDefault="00F02378">
      <w:pPr>
        <w:pStyle w:val="CommentText"/>
      </w:pPr>
      <w:r>
        <w:rPr>
          <w:rStyle w:val="CommentReference"/>
        </w:rPr>
        <w:annotationRef/>
      </w:r>
      <w:r>
        <w:t xml:space="preserve">WG input on appropriate EE profiles needed. Written proposal states, “Joint IOUs will select some EE measures and present that selection to the WG.” </w:t>
      </w:r>
    </w:p>
  </w:comment>
  <w:comment w:id="24" w:author="Laura Wang" w:date="2017-12-08T17:28:00Z" w:initials="LW">
    <w:p w14:paraId="3F987E09" w14:textId="64702F30" w:rsidR="000E1EA4" w:rsidRDefault="000E1EA4">
      <w:pPr>
        <w:pStyle w:val="CommentText"/>
      </w:pPr>
      <w:r>
        <w:rPr>
          <w:rStyle w:val="CommentReference"/>
        </w:rPr>
        <w:annotationRef/>
      </w:r>
      <w:r>
        <w:t xml:space="preserve">IOUs – please summarize presentations here </w:t>
      </w:r>
    </w:p>
  </w:comment>
  <w:comment w:id="26" w:author="Laura Wang" w:date="2017-12-07T14:37:00Z" w:initials="LW">
    <w:p w14:paraId="27F273FF" w14:textId="4243089E" w:rsidR="00F02378" w:rsidRDefault="00F02378">
      <w:pPr>
        <w:pStyle w:val="CommentText"/>
      </w:pPr>
      <w:r>
        <w:rPr>
          <w:rStyle w:val="CommentReference"/>
        </w:rPr>
        <w:annotationRef/>
      </w:r>
      <w:r>
        <w:t xml:space="preserve">IOUs – can you provide links and summarize here? </w:t>
      </w:r>
    </w:p>
  </w:comment>
  <w:comment w:id="32" w:author="Laura Wang" w:date="2017-12-05T13:58:00Z" w:initials="LW">
    <w:p w14:paraId="529C7AEB" w14:textId="21FC3C14" w:rsidR="00F02378" w:rsidRDefault="00F02378">
      <w:pPr>
        <w:pStyle w:val="CommentText"/>
      </w:pPr>
      <w:r>
        <w:rPr>
          <w:rStyle w:val="CommentReference"/>
        </w:rPr>
        <w:annotationRef/>
      </w:r>
      <w:r>
        <w:t xml:space="preserve">I’ve noted general consensus based on meeting notes and filed comments, but please let me know your position if you do not agree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0DAB06" w15:done="0"/>
  <w15:commentEx w15:paraId="1CCC7EEE" w15:done="0"/>
  <w15:commentEx w15:paraId="4DC6FF58" w15:done="0"/>
  <w15:commentEx w15:paraId="663EB4E6" w15:done="0"/>
  <w15:commentEx w15:paraId="1B243C92" w15:done="0"/>
  <w15:commentEx w15:paraId="773A6FC9" w15:done="0"/>
  <w15:commentEx w15:paraId="3F987E09" w15:done="0"/>
  <w15:commentEx w15:paraId="27F273FF" w15:done="0"/>
  <w15:commentEx w15:paraId="529C7AE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0DAB06" w16cid:durableId="1DCF7A2F"/>
  <w16cid:commentId w16cid:paraId="1CCC7EEE" w16cid:durableId="1DD4FD73"/>
  <w16cid:commentId w16cid:paraId="4DC6FF58" w16cid:durableId="1DCA64CA"/>
  <w16cid:commentId w16cid:paraId="663EB4E6" w16cid:durableId="1DCABDEB"/>
  <w16cid:commentId w16cid:paraId="1B243C92" w16cid:durableId="1DCF8DA8"/>
  <w16cid:commentId w16cid:paraId="773A6FC9" w16cid:durableId="1DCF8F09"/>
  <w16cid:commentId w16cid:paraId="3F987E09" w16cid:durableId="1DD54A45"/>
  <w16cid:commentId w16cid:paraId="27F273FF" w16cid:durableId="1DD3D0C7"/>
  <w16cid:commentId w16cid:paraId="529C7AEB" w16cid:durableId="1DD124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FBA04" w14:textId="77777777" w:rsidR="00B446D8" w:rsidRDefault="00B446D8" w:rsidP="009E7CC4">
      <w:pPr>
        <w:spacing w:after="0" w:line="240" w:lineRule="auto"/>
      </w:pPr>
      <w:r>
        <w:separator/>
      </w:r>
    </w:p>
  </w:endnote>
  <w:endnote w:type="continuationSeparator" w:id="0">
    <w:p w14:paraId="66473C6E" w14:textId="77777777" w:rsidR="00B446D8" w:rsidRDefault="00B446D8" w:rsidP="009E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903844"/>
      <w:docPartObj>
        <w:docPartGallery w:val="Page Numbers (Bottom of Page)"/>
        <w:docPartUnique/>
      </w:docPartObj>
    </w:sdtPr>
    <w:sdtEndPr>
      <w:rPr>
        <w:noProof/>
      </w:rPr>
    </w:sdtEndPr>
    <w:sdtContent>
      <w:p w14:paraId="66350180" w14:textId="403BAAD3" w:rsidR="00F02378" w:rsidRDefault="00F02378">
        <w:pPr>
          <w:pStyle w:val="Footer"/>
          <w:jc w:val="right"/>
        </w:pPr>
        <w:r>
          <w:fldChar w:fldCharType="begin"/>
        </w:r>
        <w:r>
          <w:instrText xml:space="preserve"> PAGE   \* MERGEFORMAT </w:instrText>
        </w:r>
        <w:r>
          <w:fldChar w:fldCharType="separate"/>
        </w:r>
        <w:r w:rsidR="007859E1">
          <w:rPr>
            <w:noProof/>
          </w:rPr>
          <w:t>2</w:t>
        </w:r>
        <w:r>
          <w:rPr>
            <w:noProof/>
          </w:rPr>
          <w:fldChar w:fldCharType="end"/>
        </w:r>
      </w:p>
    </w:sdtContent>
  </w:sdt>
  <w:p w14:paraId="5D4CE1E7" w14:textId="77777777" w:rsidR="00F02378" w:rsidRDefault="00F02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C136F" w14:textId="77777777" w:rsidR="00B446D8" w:rsidRDefault="00B446D8" w:rsidP="009E7CC4">
      <w:pPr>
        <w:spacing w:after="0" w:line="240" w:lineRule="auto"/>
      </w:pPr>
      <w:r>
        <w:separator/>
      </w:r>
    </w:p>
  </w:footnote>
  <w:footnote w:type="continuationSeparator" w:id="0">
    <w:p w14:paraId="6E6C3C38" w14:textId="77777777" w:rsidR="00B446D8" w:rsidRDefault="00B446D8" w:rsidP="009E7CC4">
      <w:pPr>
        <w:spacing w:after="0" w:line="240" w:lineRule="auto"/>
      </w:pPr>
      <w:r>
        <w:continuationSeparator/>
      </w:r>
    </w:p>
  </w:footnote>
  <w:footnote w:id="1">
    <w:p w14:paraId="0EAEC4E8" w14:textId="77777777" w:rsidR="00F02378" w:rsidRDefault="00F02378" w:rsidP="000272B0">
      <w:pPr>
        <w:pStyle w:val="FootnoteText"/>
      </w:pPr>
      <w:r>
        <w:rPr>
          <w:rStyle w:val="FootnoteReference"/>
        </w:rPr>
        <w:footnoteRef/>
      </w:r>
      <w:r>
        <w:t xml:space="preserve"> The latest RA report can be found here: </w:t>
      </w:r>
      <w:hyperlink r:id="rId1" w:history="1">
        <w:r w:rsidRPr="00B866DB">
          <w:rPr>
            <w:rStyle w:val="Hyperlink"/>
          </w:rPr>
          <w:t>http://www.cpuc.ca.gov/WorkArea/DownloadAsset.aspx?id=6442453942</w:t>
        </w:r>
      </w:hyperlink>
    </w:p>
  </w:footnote>
  <w:footnote w:id="2">
    <w:p w14:paraId="666C4E41" w14:textId="77777777" w:rsidR="00F02378" w:rsidRDefault="00F02378" w:rsidP="008F2ADE">
      <w:pPr>
        <w:pStyle w:val="FootnoteText"/>
      </w:pPr>
      <w:r>
        <w:rPr>
          <w:rStyle w:val="FootnoteReference"/>
        </w:rPr>
        <w:footnoteRef/>
      </w:r>
      <w:r>
        <w:t xml:space="preserve"> NREL’s PVWatts Calculator can be found at: </w:t>
      </w:r>
      <w:hyperlink r:id="rId2" w:history="1">
        <w:r>
          <w:rPr>
            <w:rStyle w:val="Hyperlink"/>
          </w:rPr>
          <w:t>http://pvwatts.nrel.gov/</w:t>
        </w:r>
      </w:hyperlink>
    </w:p>
  </w:footnote>
  <w:footnote w:id="3">
    <w:p w14:paraId="61BE6CE9" w14:textId="77777777" w:rsidR="00F02378" w:rsidRDefault="00F02378" w:rsidP="008F2ADE">
      <w:pPr>
        <w:pStyle w:val="FootnoteText"/>
      </w:pPr>
      <w:r>
        <w:rPr>
          <w:rStyle w:val="FootnoteReference"/>
        </w:rPr>
        <w:footnoteRef/>
      </w:r>
      <w:r>
        <w:t xml:space="preserve"> E3’s 2013-2014 Energy Efficiency Calculator can be found at: </w:t>
      </w:r>
      <w:hyperlink r:id="rId3" w:history="1">
        <w:r>
          <w:rPr>
            <w:rStyle w:val="Hyperlink"/>
          </w:rPr>
          <w:t>https://www.ethree.com/public_proceedings/energy-efficiency-calculator/</w:t>
        </w:r>
      </w:hyperlink>
    </w:p>
  </w:footnote>
  <w:footnote w:id="4">
    <w:p w14:paraId="17B49C4A" w14:textId="77777777" w:rsidR="00F02378" w:rsidRDefault="00F02378" w:rsidP="008F2ADE">
      <w:pPr>
        <w:pStyle w:val="FootnoteText"/>
      </w:pPr>
      <w:r>
        <w:rPr>
          <w:rStyle w:val="FootnoteReference"/>
        </w:rPr>
        <w:footnoteRef/>
      </w:r>
      <w:r>
        <w:t xml:space="preserve"> DEER information can be found at: </w:t>
      </w:r>
      <w:hyperlink r:id="rId4" w:history="1">
        <w:r>
          <w:rPr>
            <w:rStyle w:val="Hyperlink"/>
          </w:rPr>
          <w:t>http://deeresources.com/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0CDD2" w14:textId="56CB6D35" w:rsidR="00F02378" w:rsidRDefault="00F02378" w:rsidP="00A574EF">
    <w:pPr>
      <w:pStyle w:val="Header"/>
    </w:pPr>
    <w:sdt>
      <w:sdtPr>
        <w:id w:val="-1326668913"/>
        <w:docPartObj>
          <w:docPartGallery w:val="Watermarks"/>
          <w:docPartUnique/>
        </w:docPartObj>
      </w:sdtPr>
      <w:sdtContent>
        <w:r>
          <w:rPr>
            <w:noProof/>
          </w:rPr>
          <w:pict w14:anchorId="5E60A0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t xml:space="preserve">12/8/2017 </w:t>
    </w:r>
    <w:r w:rsidR="007859E1">
      <w:t>LNB</w:t>
    </w:r>
    <w:r>
      <w:t>A Working Group Long-Term Refinements Report: Draft 1</w:t>
    </w:r>
  </w:p>
  <w:p w14:paraId="7E94CB20" w14:textId="67D079B6" w:rsidR="00F02378" w:rsidRDefault="00F02378" w:rsidP="00A574EF">
    <w:pPr>
      <w:pStyle w:val="Header"/>
    </w:pPr>
    <w:r>
      <w:t>Comments and edits in tracked changes are due 12/1</w:t>
    </w:r>
    <w:r w:rsidR="007859E1">
      <w:t>8</w:t>
    </w:r>
    <w:r>
      <w:t xml:space="preserve"> to </w:t>
    </w:r>
    <w:hyperlink r:id="rId1" w:history="1">
      <w:r w:rsidRPr="00A26E0C">
        <w:rPr>
          <w:rStyle w:val="Hyperlink"/>
        </w:rPr>
        <w:t>lwang@morethansmart.org</w:t>
      </w:r>
    </w:hyperlink>
    <w:r>
      <w:t xml:space="preserve"> </w:t>
    </w:r>
  </w:p>
  <w:p w14:paraId="2415D144" w14:textId="77777777" w:rsidR="00F02378" w:rsidRDefault="00F02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0F09"/>
    <w:multiLevelType w:val="hybridMultilevel"/>
    <w:tmpl w:val="AEE04B3C"/>
    <w:lvl w:ilvl="0" w:tplc="307685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B2945"/>
    <w:multiLevelType w:val="hybridMultilevel"/>
    <w:tmpl w:val="5EB81BF0"/>
    <w:lvl w:ilvl="0" w:tplc="3912BEE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77D15"/>
    <w:multiLevelType w:val="hybridMultilevel"/>
    <w:tmpl w:val="FC2241F8"/>
    <w:lvl w:ilvl="0" w:tplc="6D001C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121B3"/>
    <w:multiLevelType w:val="hybridMultilevel"/>
    <w:tmpl w:val="3FD66738"/>
    <w:lvl w:ilvl="0" w:tplc="B120AA78">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B5350"/>
    <w:multiLevelType w:val="hybridMultilevel"/>
    <w:tmpl w:val="23EC904A"/>
    <w:lvl w:ilvl="0" w:tplc="99CEE35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11CE40F8"/>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970A2D"/>
    <w:multiLevelType w:val="hybridMultilevel"/>
    <w:tmpl w:val="E396AA4E"/>
    <w:lvl w:ilvl="0" w:tplc="1256B4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8D5F24"/>
    <w:multiLevelType w:val="hybridMultilevel"/>
    <w:tmpl w:val="5A34081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AD89CF8">
      <w:start w:val="1"/>
      <w:numFmt w:val="bullet"/>
      <w:lvlText w:val="-"/>
      <w:lvlJc w:val="left"/>
      <w:pPr>
        <w:ind w:left="2880" w:hanging="360"/>
      </w:pPr>
      <w:rPr>
        <w:rFonts w:ascii="Calibri" w:eastAsiaTheme="minorHAnsi" w:hAnsi="Calibri" w:cs="Calibri" w:hint="default"/>
      </w:rPr>
    </w:lvl>
    <w:lvl w:ilvl="4" w:tplc="BBE491A8">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9F39A5"/>
    <w:multiLevelType w:val="hybridMultilevel"/>
    <w:tmpl w:val="137869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917B40"/>
    <w:multiLevelType w:val="hybridMultilevel"/>
    <w:tmpl w:val="42565016"/>
    <w:lvl w:ilvl="0" w:tplc="B666E4B0">
      <w:start w:val="1"/>
      <w:numFmt w:val="decimal"/>
      <w:lvlText w:val="%1."/>
      <w:lvlJc w:val="left"/>
      <w:pPr>
        <w:tabs>
          <w:tab w:val="num" w:pos="720"/>
        </w:tabs>
        <w:ind w:left="720" w:hanging="360"/>
      </w:pPr>
    </w:lvl>
    <w:lvl w:ilvl="1" w:tplc="EACC172C">
      <w:numFmt w:val="bullet"/>
      <w:lvlText w:val="–"/>
      <w:lvlJc w:val="left"/>
      <w:pPr>
        <w:tabs>
          <w:tab w:val="num" w:pos="1440"/>
        </w:tabs>
        <w:ind w:left="1440" w:hanging="360"/>
      </w:pPr>
      <w:rPr>
        <w:rFonts w:ascii="Arial" w:hAnsi="Arial" w:cs="Times New Roman" w:hint="default"/>
      </w:rPr>
    </w:lvl>
    <w:lvl w:ilvl="2" w:tplc="6C76860C">
      <w:start w:val="1"/>
      <w:numFmt w:val="decimal"/>
      <w:lvlText w:val="%3."/>
      <w:lvlJc w:val="left"/>
      <w:pPr>
        <w:tabs>
          <w:tab w:val="num" w:pos="2160"/>
        </w:tabs>
        <w:ind w:left="2160" w:hanging="360"/>
      </w:pPr>
    </w:lvl>
    <w:lvl w:ilvl="3" w:tplc="F21485BA">
      <w:start w:val="1"/>
      <w:numFmt w:val="decimal"/>
      <w:lvlText w:val="%4."/>
      <w:lvlJc w:val="left"/>
      <w:pPr>
        <w:tabs>
          <w:tab w:val="num" w:pos="2880"/>
        </w:tabs>
        <w:ind w:left="2880" w:hanging="360"/>
      </w:pPr>
    </w:lvl>
    <w:lvl w:ilvl="4" w:tplc="ADAC1AA2">
      <w:start w:val="1"/>
      <w:numFmt w:val="decimal"/>
      <w:lvlText w:val="%5."/>
      <w:lvlJc w:val="left"/>
      <w:pPr>
        <w:tabs>
          <w:tab w:val="num" w:pos="3600"/>
        </w:tabs>
        <w:ind w:left="3600" w:hanging="360"/>
      </w:pPr>
    </w:lvl>
    <w:lvl w:ilvl="5" w:tplc="FF60B0B8">
      <w:start w:val="1"/>
      <w:numFmt w:val="decimal"/>
      <w:lvlText w:val="%6."/>
      <w:lvlJc w:val="left"/>
      <w:pPr>
        <w:tabs>
          <w:tab w:val="num" w:pos="4320"/>
        </w:tabs>
        <w:ind w:left="4320" w:hanging="360"/>
      </w:pPr>
    </w:lvl>
    <w:lvl w:ilvl="6" w:tplc="EE386FAC">
      <w:start w:val="1"/>
      <w:numFmt w:val="decimal"/>
      <w:lvlText w:val="%7."/>
      <w:lvlJc w:val="left"/>
      <w:pPr>
        <w:tabs>
          <w:tab w:val="num" w:pos="5040"/>
        </w:tabs>
        <w:ind w:left="5040" w:hanging="360"/>
      </w:pPr>
    </w:lvl>
    <w:lvl w:ilvl="7" w:tplc="BBA410F6">
      <w:start w:val="1"/>
      <w:numFmt w:val="decimal"/>
      <w:lvlText w:val="%8."/>
      <w:lvlJc w:val="left"/>
      <w:pPr>
        <w:tabs>
          <w:tab w:val="num" w:pos="5760"/>
        </w:tabs>
        <w:ind w:left="5760" w:hanging="360"/>
      </w:pPr>
    </w:lvl>
    <w:lvl w:ilvl="8" w:tplc="010EEB7C">
      <w:start w:val="1"/>
      <w:numFmt w:val="decimal"/>
      <w:lvlText w:val="%9."/>
      <w:lvlJc w:val="left"/>
      <w:pPr>
        <w:tabs>
          <w:tab w:val="num" w:pos="6480"/>
        </w:tabs>
        <w:ind w:left="6480" w:hanging="360"/>
      </w:pPr>
    </w:lvl>
  </w:abstractNum>
  <w:abstractNum w:abstractNumId="10" w15:restartNumberingAfterBreak="0">
    <w:nsid w:val="2A897441"/>
    <w:multiLevelType w:val="hybridMultilevel"/>
    <w:tmpl w:val="70A041C8"/>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11" w15:restartNumberingAfterBreak="0">
    <w:nsid w:val="310B2392"/>
    <w:multiLevelType w:val="hybridMultilevel"/>
    <w:tmpl w:val="A2A404FE"/>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start w:val="1"/>
      <w:numFmt w:val="bullet"/>
      <w:lvlText w:val=""/>
      <w:lvlJc w:val="left"/>
      <w:pPr>
        <w:ind w:left="2211" w:hanging="360"/>
      </w:pPr>
      <w:rPr>
        <w:rFonts w:ascii="Wingdings" w:hAnsi="Wingdings" w:hint="default"/>
      </w:rPr>
    </w:lvl>
    <w:lvl w:ilvl="3" w:tplc="04090001">
      <w:start w:val="1"/>
      <w:numFmt w:val="bullet"/>
      <w:lvlText w:val=""/>
      <w:lvlJc w:val="left"/>
      <w:pPr>
        <w:ind w:left="2931" w:hanging="360"/>
      </w:pPr>
      <w:rPr>
        <w:rFonts w:ascii="Symbol" w:hAnsi="Symbol" w:hint="default"/>
      </w:rPr>
    </w:lvl>
    <w:lvl w:ilvl="4" w:tplc="04090003">
      <w:start w:val="1"/>
      <w:numFmt w:val="bullet"/>
      <w:lvlText w:val="o"/>
      <w:lvlJc w:val="left"/>
      <w:pPr>
        <w:ind w:left="3651" w:hanging="360"/>
      </w:pPr>
      <w:rPr>
        <w:rFonts w:ascii="Courier New" w:hAnsi="Courier New" w:cs="Courier New" w:hint="default"/>
      </w:rPr>
    </w:lvl>
    <w:lvl w:ilvl="5" w:tplc="04090005">
      <w:start w:val="1"/>
      <w:numFmt w:val="bullet"/>
      <w:lvlText w:val=""/>
      <w:lvlJc w:val="left"/>
      <w:pPr>
        <w:ind w:left="4371" w:hanging="360"/>
      </w:pPr>
      <w:rPr>
        <w:rFonts w:ascii="Wingdings" w:hAnsi="Wingdings" w:hint="default"/>
      </w:rPr>
    </w:lvl>
    <w:lvl w:ilvl="6" w:tplc="04090001">
      <w:start w:val="1"/>
      <w:numFmt w:val="bullet"/>
      <w:lvlText w:val=""/>
      <w:lvlJc w:val="left"/>
      <w:pPr>
        <w:ind w:left="5091" w:hanging="360"/>
      </w:pPr>
      <w:rPr>
        <w:rFonts w:ascii="Symbol" w:hAnsi="Symbol" w:hint="default"/>
      </w:rPr>
    </w:lvl>
    <w:lvl w:ilvl="7" w:tplc="04090003">
      <w:start w:val="1"/>
      <w:numFmt w:val="bullet"/>
      <w:lvlText w:val="o"/>
      <w:lvlJc w:val="left"/>
      <w:pPr>
        <w:ind w:left="5811" w:hanging="360"/>
      </w:pPr>
      <w:rPr>
        <w:rFonts w:ascii="Courier New" w:hAnsi="Courier New" w:cs="Courier New" w:hint="default"/>
      </w:rPr>
    </w:lvl>
    <w:lvl w:ilvl="8" w:tplc="04090005">
      <w:start w:val="1"/>
      <w:numFmt w:val="bullet"/>
      <w:lvlText w:val=""/>
      <w:lvlJc w:val="left"/>
      <w:pPr>
        <w:ind w:left="6531" w:hanging="360"/>
      </w:pPr>
      <w:rPr>
        <w:rFonts w:ascii="Wingdings" w:hAnsi="Wingdings" w:hint="default"/>
      </w:rPr>
    </w:lvl>
  </w:abstractNum>
  <w:abstractNum w:abstractNumId="12" w15:restartNumberingAfterBreak="0">
    <w:nsid w:val="335A301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41844D7"/>
    <w:multiLevelType w:val="hybridMultilevel"/>
    <w:tmpl w:val="4D8C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5A0792F"/>
    <w:multiLevelType w:val="multilevel"/>
    <w:tmpl w:val="A1E4152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53E0C32"/>
    <w:multiLevelType w:val="hybridMultilevel"/>
    <w:tmpl w:val="B7B880F0"/>
    <w:lvl w:ilvl="0" w:tplc="06B6CB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8418C4"/>
    <w:multiLevelType w:val="hybridMultilevel"/>
    <w:tmpl w:val="5034733E"/>
    <w:lvl w:ilvl="0" w:tplc="C068D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A40929"/>
    <w:multiLevelType w:val="hybridMultilevel"/>
    <w:tmpl w:val="0200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64663A"/>
    <w:multiLevelType w:val="hybridMultilevel"/>
    <w:tmpl w:val="D2D4BFE6"/>
    <w:lvl w:ilvl="0" w:tplc="60F4E0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0"/>
  </w:num>
  <w:num w:numId="4">
    <w:abstractNumId w:val="2"/>
  </w:num>
  <w:num w:numId="5">
    <w:abstractNumId w:val="16"/>
  </w:num>
  <w:num w:numId="6">
    <w:abstractNumId w:val="12"/>
  </w:num>
  <w:num w:numId="7">
    <w:abstractNumId w:val="5"/>
  </w:num>
  <w:num w:numId="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7"/>
  </w:num>
  <w:num w:numId="11">
    <w:abstractNumId w:val="15"/>
  </w:num>
  <w:num w:numId="12">
    <w:abstractNumId w:val="10"/>
    <w:lvlOverride w:ilvl="0"/>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lvlOverride w:ilvl="2"/>
    <w:lvlOverride w:ilvl="3"/>
    <w:lvlOverride w:ilvl="4"/>
    <w:lvlOverride w:ilvl="5"/>
    <w:lvlOverride w:ilvl="6"/>
    <w:lvlOverride w:ilvl="7"/>
    <w:lvlOverride w:ilvl="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8"/>
  </w:num>
  <w:num w:numId="18">
    <w:abstractNumId w:val="1"/>
  </w:num>
  <w:num w:numId="1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Wang">
    <w15:presenceInfo w15:providerId="None" w15:userId="Laura Wa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B2D"/>
    <w:rsid w:val="000272B0"/>
    <w:rsid w:val="00032C68"/>
    <w:rsid w:val="000674B5"/>
    <w:rsid w:val="0008578B"/>
    <w:rsid w:val="00091E23"/>
    <w:rsid w:val="000B0939"/>
    <w:rsid w:val="000B2B2D"/>
    <w:rsid w:val="000C15A6"/>
    <w:rsid w:val="000C175F"/>
    <w:rsid w:val="000C7A56"/>
    <w:rsid w:val="000E1EA4"/>
    <w:rsid w:val="000E5D58"/>
    <w:rsid w:val="000F351A"/>
    <w:rsid w:val="00101BE0"/>
    <w:rsid w:val="00104C23"/>
    <w:rsid w:val="00106AAD"/>
    <w:rsid w:val="00120EC6"/>
    <w:rsid w:val="00122609"/>
    <w:rsid w:val="00137969"/>
    <w:rsid w:val="00147F49"/>
    <w:rsid w:val="00160BB6"/>
    <w:rsid w:val="001939F4"/>
    <w:rsid w:val="001960E2"/>
    <w:rsid w:val="001A0BFE"/>
    <w:rsid w:val="001A34B4"/>
    <w:rsid w:val="001B1974"/>
    <w:rsid w:val="001F296F"/>
    <w:rsid w:val="001F7D0C"/>
    <w:rsid w:val="00221BDE"/>
    <w:rsid w:val="0022256C"/>
    <w:rsid w:val="00224A17"/>
    <w:rsid w:val="00230833"/>
    <w:rsid w:val="00230B92"/>
    <w:rsid w:val="00242302"/>
    <w:rsid w:val="00243FA3"/>
    <w:rsid w:val="00250653"/>
    <w:rsid w:val="0027047C"/>
    <w:rsid w:val="00285408"/>
    <w:rsid w:val="00287A45"/>
    <w:rsid w:val="00287ED0"/>
    <w:rsid w:val="002901EE"/>
    <w:rsid w:val="00294CE0"/>
    <w:rsid w:val="002A6D33"/>
    <w:rsid w:val="002B7572"/>
    <w:rsid w:val="002C15A6"/>
    <w:rsid w:val="002D16F4"/>
    <w:rsid w:val="002D1E28"/>
    <w:rsid w:val="002D348E"/>
    <w:rsid w:val="002F14BA"/>
    <w:rsid w:val="003326BB"/>
    <w:rsid w:val="0034206B"/>
    <w:rsid w:val="00344034"/>
    <w:rsid w:val="00347D45"/>
    <w:rsid w:val="003557B0"/>
    <w:rsid w:val="00356D39"/>
    <w:rsid w:val="00375A23"/>
    <w:rsid w:val="003B0159"/>
    <w:rsid w:val="003C351C"/>
    <w:rsid w:val="003D08D8"/>
    <w:rsid w:val="003E33DF"/>
    <w:rsid w:val="003E5050"/>
    <w:rsid w:val="003E59B0"/>
    <w:rsid w:val="00413611"/>
    <w:rsid w:val="004160A9"/>
    <w:rsid w:val="00427E89"/>
    <w:rsid w:val="0045302B"/>
    <w:rsid w:val="0045400E"/>
    <w:rsid w:val="00480C45"/>
    <w:rsid w:val="004E2626"/>
    <w:rsid w:val="004F6E83"/>
    <w:rsid w:val="0051074E"/>
    <w:rsid w:val="0054521B"/>
    <w:rsid w:val="00556C0F"/>
    <w:rsid w:val="00560E37"/>
    <w:rsid w:val="00577521"/>
    <w:rsid w:val="005A2450"/>
    <w:rsid w:val="005C0257"/>
    <w:rsid w:val="005C2585"/>
    <w:rsid w:val="005F585C"/>
    <w:rsid w:val="0063460A"/>
    <w:rsid w:val="0064533E"/>
    <w:rsid w:val="0067007B"/>
    <w:rsid w:val="00673C4A"/>
    <w:rsid w:val="0068589A"/>
    <w:rsid w:val="006C7984"/>
    <w:rsid w:val="006D74F4"/>
    <w:rsid w:val="006E3710"/>
    <w:rsid w:val="00724842"/>
    <w:rsid w:val="00730E10"/>
    <w:rsid w:val="00743843"/>
    <w:rsid w:val="007546CB"/>
    <w:rsid w:val="00755FF8"/>
    <w:rsid w:val="00784A13"/>
    <w:rsid w:val="007859E1"/>
    <w:rsid w:val="00791D0E"/>
    <w:rsid w:val="007B0B3B"/>
    <w:rsid w:val="007B0DCE"/>
    <w:rsid w:val="007B7532"/>
    <w:rsid w:val="007D0C64"/>
    <w:rsid w:val="00800BCE"/>
    <w:rsid w:val="00862B60"/>
    <w:rsid w:val="00892257"/>
    <w:rsid w:val="00894860"/>
    <w:rsid w:val="008B211A"/>
    <w:rsid w:val="008C0309"/>
    <w:rsid w:val="008D0B31"/>
    <w:rsid w:val="008F2ADE"/>
    <w:rsid w:val="008F4457"/>
    <w:rsid w:val="009034A5"/>
    <w:rsid w:val="00907D78"/>
    <w:rsid w:val="00911E15"/>
    <w:rsid w:val="009135BF"/>
    <w:rsid w:val="00924F48"/>
    <w:rsid w:val="00931A6C"/>
    <w:rsid w:val="00931C09"/>
    <w:rsid w:val="00935B62"/>
    <w:rsid w:val="00943229"/>
    <w:rsid w:val="00961BEF"/>
    <w:rsid w:val="009762EA"/>
    <w:rsid w:val="00977F37"/>
    <w:rsid w:val="00986CD5"/>
    <w:rsid w:val="009B14A0"/>
    <w:rsid w:val="009B302D"/>
    <w:rsid w:val="009C0E95"/>
    <w:rsid w:val="009C49DB"/>
    <w:rsid w:val="009E7CC4"/>
    <w:rsid w:val="009F668F"/>
    <w:rsid w:val="00A057CB"/>
    <w:rsid w:val="00A103F4"/>
    <w:rsid w:val="00A10615"/>
    <w:rsid w:val="00A31ABB"/>
    <w:rsid w:val="00A3508F"/>
    <w:rsid w:val="00A56758"/>
    <w:rsid w:val="00A574EF"/>
    <w:rsid w:val="00A7385F"/>
    <w:rsid w:val="00A73E47"/>
    <w:rsid w:val="00A75C7F"/>
    <w:rsid w:val="00A81399"/>
    <w:rsid w:val="00AA07A0"/>
    <w:rsid w:val="00AB0BB1"/>
    <w:rsid w:val="00AC2A16"/>
    <w:rsid w:val="00AD17EF"/>
    <w:rsid w:val="00AD561F"/>
    <w:rsid w:val="00AF0DD7"/>
    <w:rsid w:val="00B014A6"/>
    <w:rsid w:val="00B20DFF"/>
    <w:rsid w:val="00B21E3C"/>
    <w:rsid w:val="00B249CC"/>
    <w:rsid w:val="00B31101"/>
    <w:rsid w:val="00B33534"/>
    <w:rsid w:val="00B446D8"/>
    <w:rsid w:val="00B94CF1"/>
    <w:rsid w:val="00BA2018"/>
    <w:rsid w:val="00BC3527"/>
    <w:rsid w:val="00BD1005"/>
    <w:rsid w:val="00BE7053"/>
    <w:rsid w:val="00C00264"/>
    <w:rsid w:val="00C043AE"/>
    <w:rsid w:val="00C12C00"/>
    <w:rsid w:val="00C2554E"/>
    <w:rsid w:val="00C57F6E"/>
    <w:rsid w:val="00C6264E"/>
    <w:rsid w:val="00C906C5"/>
    <w:rsid w:val="00CA4CF2"/>
    <w:rsid w:val="00CB4E49"/>
    <w:rsid w:val="00CD382D"/>
    <w:rsid w:val="00CE198C"/>
    <w:rsid w:val="00CF7E92"/>
    <w:rsid w:val="00D10D9B"/>
    <w:rsid w:val="00D16DC9"/>
    <w:rsid w:val="00D440D6"/>
    <w:rsid w:val="00D51A62"/>
    <w:rsid w:val="00D612B5"/>
    <w:rsid w:val="00D61AF0"/>
    <w:rsid w:val="00D63979"/>
    <w:rsid w:val="00D82A49"/>
    <w:rsid w:val="00D9454B"/>
    <w:rsid w:val="00DA31F3"/>
    <w:rsid w:val="00DA4E87"/>
    <w:rsid w:val="00DA7240"/>
    <w:rsid w:val="00DE4D06"/>
    <w:rsid w:val="00DE7393"/>
    <w:rsid w:val="00E13545"/>
    <w:rsid w:val="00E21C86"/>
    <w:rsid w:val="00E26FE8"/>
    <w:rsid w:val="00E33F30"/>
    <w:rsid w:val="00E6218A"/>
    <w:rsid w:val="00E63293"/>
    <w:rsid w:val="00E65049"/>
    <w:rsid w:val="00E7087E"/>
    <w:rsid w:val="00E90D76"/>
    <w:rsid w:val="00E9160B"/>
    <w:rsid w:val="00E92C8C"/>
    <w:rsid w:val="00EA10B5"/>
    <w:rsid w:val="00ED2A2E"/>
    <w:rsid w:val="00ED3CEB"/>
    <w:rsid w:val="00ED583D"/>
    <w:rsid w:val="00ED6094"/>
    <w:rsid w:val="00EE5D85"/>
    <w:rsid w:val="00EF4A68"/>
    <w:rsid w:val="00F02378"/>
    <w:rsid w:val="00F305DA"/>
    <w:rsid w:val="00F569C0"/>
    <w:rsid w:val="00F627DB"/>
    <w:rsid w:val="00F71091"/>
    <w:rsid w:val="00F83CB9"/>
    <w:rsid w:val="00FA6F26"/>
    <w:rsid w:val="00FB0DEF"/>
    <w:rsid w:val="00FB3038"/>
    <w:rsid w:val="00FF304C"/>
    <w:rsid w:val="00FF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61C431"/>
  <w15:chartTrackingRefBased/>
  <w15:docId w15:val="{87EFC7F6-E465-4B36-A6FF-C0AA075F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2B2D"/>
  </w:style>
  <w:style w:type="paragraph" w:styleId="Heading1">
    <w:name w:val="heading 1"/>
    <w:basedOn w:val="Normal"/>
    <w:next w:val="Normal"/>
    <w:link w:val="Heading1Char"/>
    <w:uiPriority w:val="9"/>
    <w:qFormat/>
    <w:rsid w:val="000B2B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04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B2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2B2D"/>
    <w:pPr>
      <w:ind w:left="720"/>
      <w:contextualSpacing/>
    </w:pPr>
  </w:style>
  <w:style w:type="paragraph" w:styleId="FootnoteText">
    <w:name w:val="footnote text"/>
    <w:basedOn w:val="Normal"/>
    <w:link w:val="FootnoteTextChar"/>
    <w:uiPriority w:val="99"/>
    <w:semiHidden/>
    <w:unhideWhenUsed/>
    <w:rsid w:val="009E7C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7CC4"/>
    <w:rPr>
      <w:sz w:val="20"/>
      <w:szCs w:val="20"/>
    </w:rPr>
  </w:style>
  <w:style w:type="character" w:styleId="FootnoteReference">
    <w:name w:val="footnote reference"/>
    <w:basedOn w:val="DefaultParagraphFont"/>
    <w:uiPriority w:val="99"/>
    <w:semiHidden/>
    <w:unhideWhenUsed/>
    <w:rsid w:val="009E7CC4"/>
    <w:rPr>
      <w:vertAlign w:val="superscript"/>
    </w:rPr>
  </w:style>
  <w:style w:type="character" w:styleId="CommentReference">
    <w:name w:val="annotation reference"/>
    <w:basedOn w:val="DefaultParagraphFont"/>
    <w:uiPriority w:val="99"/>
    <w:semiHidden/>
    <w:unhideWhenUsed/>
    <w:rsid w:val="00892257"/>
    <w:rPr>
      <w:sz w:val="16"/>
      <w:szCs w:val="16"/>
    </w:rPr>
  </w:style>
  <w:style w:type="paragraph" w:styleId="CommentText">
    <w:name w:val="annotation text"/>
    <w:basedOn w:val="Normal"/>
    <w:link w:val="CommentTextChar"/>
    <w:uiPriority w:val="99"/>
    <w:semiHidden/>
    <w:unhideWhenUsed/>
    <w:rsid w:val="00892257"/>
    <w:pPr>
      <w:spacing w:line="240" w:lineRule="auto"/>
    </w:pPr>
    <w:rPr>
      <w:sz w:val="20"/>
      <w:szCs w:val="20"/>
    </w:rPr>
  </w:style>
  <w:style w:type="character" w:customStyle="1" w:styleId="CommentTextChar">
    <w:name w:val="Comment Text Char"/>
    <w:basedOn w:val="DefaultParagraphFont"/>
    <w:link w:val="CommentText"/>
    <w:uiPriority w:val="99"/>
    <w:semiHidden/>
    <w:rsid w:val="00892257"/>
    <w:rPr>
      <w:sz w:val="20"/>
      <w:szCs w:val="20"/>
    </w:rPr>
  </w:style>
  <w:style w:type="paragraph" w:styleId="CommentSubject">
    <w:name w:val="annotation subject"/>
    <w:basedOn w:val="CommentText"/>
    <w:next w:val="CommentText"/>
    <w:link w:val="CommentSubjectChar"/>
    <w:uiPriority w:val="99"/>
    <w:semiHidden/>
    <w:unhideWhenUsed/>
    <w:rsid w:val="00892257"/>
    <w:rPr>
      <w:b/>
      <w:bCs/>
    </w:rPr>
  </w:style>
  <w:style w:type="character" w:customStyle="1" w:styleId="CommentSubjectChar">
    <w:name w:val="Comment Subject Char"/>
    <w:basedOn w:val="CommentTextChar"/>
    <w:link w:val="CommentSubject"/>
    <w:uiPriority w:val="99"/>
    <w:semiHidden/>
    <w:rsid w:val="00892257"/>
    <w:rPr>
      <w:b/>
      <w:bCs/>
      <w:sz w:val="20"/>
      <w:szCs w:val="20"/>
    </w:rPr>
  </w:style>
  <w:style w:type="paragraph" w:styleId="BalloonText">
    <w:name w:val="Balloon Text"/>
    <w:basedOn w:val="Normal"/>
    <w:link w:val="BalloonTextChar"/>
    <w:uiPriority w:val="99"/>
    <w:semiHidden/>
    <w:unhideWhenUsed/>
    <w:rsid w:val="00892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257"/>
    <w:rPr>
      <w:rFonts w:ascii="Segoe UI" w:hAnsi="Segoe UI" w:cs="Segoe UI"/>
      <w:sz w:val="18"/>
      <w:szCs w:val="18"/>
    </w:rPr>
  </w:style>
  <w:style w:type="character" w:styleId="Hyperlink">
    <w:name w:val="Hyperlink"/>
    <w:basedOn w:val="DefaultParagraphFont"/>
    <w:uiPriority w:val="99"/>
    <w:unhideWhenUsed/>
    <w:rsid w:val="00CF7E92"/>
    <w:rPr>
      <w:color w:val="0563C1" w:themeColor="hyperlink"/>
      <w:u w:val="single"/>
    </w:rPr>
  </w:style>
  <w:style w:type="character" w:customStyle="1" w:styleId="Heading2Char">
    <w:name w:val="Heading 2 Char"/>
    <w:basedOn w:val="DefaultParagraphFont"/>
    <w:link w:val="Heading2"/>
    <w:uiPriority w:val="9"/>
    <w:rsid w:val="002704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047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47D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D45"/>
  </w:style>
  <w:style w:type="paragraph" w:styleId="Footer">
    <w:name w:val="footer"/>
    <w:basedOn w:val="Normal"/>
    <w:link w:val="FooterChar"/>
    <w:uiPriority w:val="99"/>
    <w:unhideWhenUsed/>
    <w:rsid w:val="00347D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D45"/>
  </w:style>
  <w:style w:type="table" w:styleId="TableGrid">
    <w:name w:val="Table Grid"/>
    <w:basedOn w:val="TableNormal"/>
    <w:uiPriority w:val="39"/>
    <w:rsid w:val="00CD3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2450"/>
    <w:pPr>
      <w:outlineLvl w:val="9"/>
    </w:pPr>
  </w:style>
  <w:style w:type="paragraph" w:styleId="TOC1">
    <w:name w:val="toc 1"/>
    <w:basedOn w:val="Normal"/>
    <w:next w:val="Normal"/>
    <w:autoRedefine/>
    <w:uiPriority w:val="39"/>
    <w:unhideWhenUsed/>
    <w:rsid w:val="005A2450"/>
    <w:pPr>
      <w:spacing w:after="100"/>
    </w:pPr>
  </w:style>
  <w:style w:type="paragraph" w:styleId="TOC2">
    <w:name w:val="toc 2"/>
    <w:basedOn w:val="Normal"/>
    <w:next w:val="Normal"/>
    <w:autoRedefine/>
    <w:uiPriority w:val="39"/>
    <w:unhideWhenUsed/>
    <w:rsid w:val="005A2450"/>
    <w:pPr>
      <w:spacing w:after="100"/>
      <w:ind w:left="220"/>
    </w:pPr>
  </w:style>
  <w:style w:type="paragraph" w:styleId="TOC3">
    <w:name w:val="toc 3"/>
    <w:basedOn w:val="Normal"/>
    <w:next w:val="Normal"/>
    <w:autoRedefine/>
    <w:uiPriority w:val="39"/>
    <w:unhideWhenUsed/>
    <w:rsid w:val="005A245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049863">
      <w:bodyDiv w:val="1"/>
      <w:marLeft w:val="0"/>
      <w:marRight w:val="0"/>
      <w:marTop w:val="0"/>
      <w:marBottom w:val="0"/>
      <w:divBdr>
        <w:top w:val="none" w:sz="0" w:space="0" w:color="auto"/>
        <w:left w:val="none" w:sz="0" w:space="0" w:color="auto"/>
        <w:bottom w:val="none" w:sz="0" w:space="0" w:color="auto"/>
        <w:right w:val="none" w:sz="0" w:space="0" w:color="auto"/>
      </w:divBdr>
    </w:div>
    <w:div w:id="657539556">
      <w:bodyDiv w:val="1"/>
      <w:marLeft w:val="0"/>
      <w:marRight w:val="0"/>
      <w:marTop w:val="0"/>
      <w:marBottom w:val="0"/>
      <w:divBdr>
        <w:top w:val="none" w:sz="0" w:space="0" w:color="auto"/>
        <w:left w:val="none" w:sz="0" w:space="0" w:color="auto"/>
        <w:bottom w:val="none" w:sz="0" w:space="0" w:color="auto"/>
        <w:right w:val="none" w:sz="0" w:space="0" w:color="auto"/>
      </w:divBdr>
    </w:div>
    <w:div w:id="1011226990">
      <w:bodyDiv w:val="1"/>
      <w:marLeft w:val="0"/>
      <w:marRight w:val="0"/>
      <w:marTop w:val="0"/>
      <w:marBottom w:val="0"/>
      <w:divBdr>
        <w:top w:val="none" w:sz="0" w:space="0" w:color="auto"/>
        <w:left w:val="none" w:sz="0" w:space="0" w:color="auto"/>
        <w:bottom w:val="none" w:sz="0" w:space="0" w:color="auto"/>
        <w:right w:val="none" w:sz="0" w:space="0" w:color="auto"/>
      </w:divBdr>
    </w:div>
    <w:div w:id="1350255659">
      <w:bodyDiv w:val="1"/>
      <w:marLeft w:val="0"/>
      <w:marRight w:val="0"/>
      <w:marTop w:val="0"/>
      <w:marBottom w:val="0"/>
      <w:divBdr>
        <w:top w:val="none" w:sz="0" w:space="0" w:color="auto"/>
        <w:left w:val="none" w:sz="0" w:space="0" w:color="auto"/>
        <w:bottom w:val="none" w:sz="0" w:space="0" w:color="auto"/>
        <w:right w:val="none" w:sz="0" w:space="0" w:color="auto"/>
      </w:divBdr>
    </w:div>
    <w:div w:id="1452938749">
      <w:bodyDiv w:val="1"/>
      <w:marLeft w:val="0"/>
      <w:marRight w:val="0"/>
      <w:marTop w:val="0"/>
      <w:marBottom w:val="0"/>
      <w:divBdr>
        <w:top w:val="none" w:sz="0" w:space="0" w:color="auto"/>
        <w:left w:val="none" w:sz="0" w:space="0" w:color="auto"/>
        <w:bottom w:val="none" w:sz="0" w:space="0" w:color="auto"/>
        <w:right w:val="none" w:sz="0" w:space="0" w:color="auto"/>
      </w:divBdr>
    </w:div>
    <w:div w:id="1489975059">
      <w:bodyDiv w:val="1"/>
      <w:marLeft w:val="0"/>
      <w:marRight w:val="0"/>
      <w:marTop w:val="0"/>
      <w:marBottom w:val="0"/>
      <w:divBdr>
        <w:top w:val="none" w:sz="0" w:space="0" w:color="auto"/>
        <w:left w:val="none" w:sz="0" w:space="0" w:color="auto"/>
        <w:bottom w:val="none" w:sz="0" w:space="0" w:color="auto"/>
        <w:right w:val="none" w:sz="0" w:space="0" w:color="auto"/>
      </w:divBdr>
    </w:div>
    <w:div w:id="1744791380">
      <w:bodyDiv w:val="1"/>
      <w:marLeft w:val="0"/>
      <w:marRight w:val="0"/>
      <w:marTop w:val="0"/>
      <w:marBottom w:val="0"/>
      <w:divBdr>
        <w:top w:val="none" w:sz="0" w:space="0" w:color="auto"/>
        <w:left w:val="none" w:sz="0" w:space="0" w:color="auto"/>
        <w:bottom w:val="none" w:sz="0" w:space="0" w:color="auto"/>
        <w:right w:val="none" w:sz="0" w:space="0" w:color="auto"/>
      </w:divBdr>
    </w:div>
    <w:div w:id="1827163960">
      <w:bodyDiv w:val="1"/>
      <w:marLeft w:val="0"/>
      <w:marRight w:val="0"/>
      <w:marTop w:val="0"/>
      <w:marBottom w:val="0"/>
      <w:divBdr>
        <w:top w:val="none" w:sz="0" w:space="0" w:color="auto"/>
        <w:left w:val="none" w:sz="0" w:space="0" w:color="auto"/>
        <w:bottom w:val="none" w:sz="0" w:space="0" w:color="auto"/>
        <w:right w:val="none" w:sz="0" w:space="0" w:color="auto"/>
      </w:divBdr>
    </w:div>
    <w:div w:id="1955941436">
      <w:bodyDiv w:val="1"/>
      <w:marLeft w:val="0"/>
      <w:marRight w:val="0"/>
      <w:marTop w:val="0"/>
      <w:marBottom w:val="0"/>
      <w:divBdr>
        <w:top w:val="none" w:sz="0" w:space="0" w:color="auto"/>
        <w:left w:val="none" w:sz="0" w:space="0" w:color="auto"/>
        <w:bottom w:val="none" w:sz="0" w:space="0" w:color="auto"/>
        <w:right w:val="none" w:sz="0" w:space="0" w:color="auto"/>
      </w:divBdr>
    </w:div>
    <w:div w:id="1972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www.ethree.com/public_proceedings/energy-efficiency-calculator/" TargetMode="External"/><Relationship Id="rId2" Type="http://schemas.openxmlformats.org/officeDocument/2006/relationships/hyperlink" Target="http://pvwatts.nrel.gov/" TargetMode="External"/><Relationship Id="rId1" Type="http://schemas.openxmlformats.org/officeDocument/2006/relationships/hyperlink" Target="http://www.cpuc.ca.gov/WorkArea/DownloadAsset.aspx?id=6442453942" TargetMode="External"/><Relationship Id="rId4" Type="http://schemas.openxmlformats.org/officeDocument/2006/relationships/hyperlink" Target="http://deeresources.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lwang@morethansmar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5ACE7-D06A-46FA-B562-B8B06CE19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10559</Words>
  <Characters>60189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3</cp:revision>
  <dcterms:created xsi:type="dcterms:W3CDTF">2017-12-09T01:29:00Z</dcterms:created>
  <dcterms:modified xsi:type="dcterms:W3CDTF">2017-12-09T01:30:00Z</dcterms:modified>
</cp:coreProperties>
</file>