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ADB808" w14:textId="04BF79BC" w:rsidR="00B7482A" w:rsidRDefault="00B7482A" w:rsidP="009F5705">
      <w:pPr>
        <w:pStyle w:val="Title"/>
        <w:rPr>
          <w:sz w:val="48"/>
        </w:rPr>
      </w:pPr>
      <w:r>
        <w:rPr>
          <w:sz w:val="48"/>
        </w:rPr>
        <w:t>Item 4</w:t>
      </w:r>
      <w:r w:rsidR="00D641E9">
        <w:rPr>
          <w:sz w:val="48"/>
        </w:rPr>
        <w:t>.iii</w:t>
      </w:r>
      <w:r w:rsidR="00062F4C" w:rsidRPr="006B3453">
        <w:rPr>
          <w:sz w:val="48"/>
        </w:rPr>
        <w:t xml:space="preserve">: </w:t>
      </w:r>
      <w:r>
        <w:rPr>
          <w:sz w:val="48"/>
        </w:rPr>
        <w:t>Locational Based Line Loss Calculations</w:t>
      </w:r>
    </w:p>
    <w:p w14:paraId="7D43CA11" w14:textId="1292CE62" w:rsidR="00062F4C" w:rsidRDefault="00062F4C" w:rsidP="00C33106">
      <w:pPr>
        <w:pStyle w:val="Title"/>
      </w:pPr>
      <w:r>
        <w:t xml:space="preserve">Joint </w:t>
      </w:r>
      <w:r>
        <w:t xml:space="preserve">IOUs’ </w:t>
      </w:r>
      <w:r w:rsidR="0080774A">
        <w:t>Revised</w:t>
      </w:r>
      <w:r w:rsidR="0080774A">
        <w:t xml:space="preserve"> </w:t>
      </w:r>
      <w:r>
        <w:t xml:space="preserve">Proposal </w:t>
      </w:r>
    </w:p>
    <w:p w14:paraId="00D2EECE" w14:textId="77777777" w:rsidR="00C33106" w:rsidRPr="00B866DB" w:rsidRDefault="00C33106" w:rsidP="00C33106">
      <w:pPr>
        <w:pStyle w:val="Subtitle"/>
        <w:spacing w:after="0"/>
      </w:pPr>
      <w:r w:rsidRPr="00B866DB">
        <w:t>LNBA Working Group</w:t>
      </w:r>
    </w:p>
    <w:p w14:paraId="5A6EF65C" w14:textId="0C31354B" w:rsidR="00062F4C" w:rsidRDefault="00062F4C" w:rsidP="00D04B9A">
      <w:pPr>
        <w:spacing w:after="0"/>
      </w:pPr>
    </w:p>
    <w:p w14:paraId="56D63983" w14:textId="77777777" w:rsidR="0040560B" w:rsidRDefault="0040560B" w:rsidP="00D04B9A">
      <w:pPr>
        <w:spacing w:after="0"/>
      </w:pPr>
    </w:p>
    <w:p w14:paraId="6DEE1E41" w14:textId="77777777" w:rsidR="00062F4C" w:rsidRDefault="00062F4C" w:rsidP="00D04B9A">
      <w:pPr>
        <w:pStyle w:val="Heading1"/>
        <w:spacing w:before="0"/>
      </w:pPr>
      <w:r>
        <w:t>Summary of Recommendations</w:t>
      </w:r>
    </w:p>
    <w:p w14:paraId="5F9C68C7" w14:textId="1AD9A9B3" w:rsidR="00743D07" w:rsidRDefault="00E47AB9" w:rsidP="00E47AB9">
      <w:pPr>
        <w:spacing w:after="0"/>
      </w:pPr>
      <w:r>
        <w:t xml:space="preserve">After performing </w:t>
      </w:r>
      <w:r w:rsidR="00E14AA1">
        <w:t xml:space="preserve">additional </w:t>
      </w:r>
      <w:r>
        <w:t>line loss studies to</w:t>
      </w:r>
      <w:r w:rsidR="00411361">
        <w:t xml:space="preserve"> enhance understanding of</w:t>
      </w:r>
      <w:r>
        <w:t xml:space="preserve"> line loss variance across distribution </w:t>
      </w:r>
      <w:r>
        <w:t xml:space="preserve">feeders and distribution secondary </w:t>
      </w:r>
      <w:r w:rsidR="00030642">
        <w:t>systems, the joint IOUs</w:t>
      </w:r>
      <w:r w:rsidR="00411361">
        <w:t xml:space="preserve"> have the following proposals for how line loss changes should be accounted</w:t>
      </w:r>
      <w:r w:rsidR="007D48C6">
        <w:t xml:space="preserve"> for</w:t>
      </w:r>
      <w:r w:rsidR="00E405E4">
        <w:t xml:space="preserve"> in the various LNBA uses cases</w:t>
      </w:r>
      <w:r>
        <w:t>.</w:t>
      </w:r>
      <w:r w:rsidR="00CF1DA9">
        <w:t xml:space="preserve"> </w:t>
      </w:r>
    </w:p>
    <w:p w14:paraId="456FFE02" w14:textId="77777777" w:rsidR="0040560B" w:rsidRDefault="0040560B" w:rsidP="00E47AB9">
      <w:pPr>
        <w:spacing w:after="0"/>
      </w:pPr>
    </w:p>
    <w:p w14:paraId="1F70E650" w14:textId="11DB6D55" w:rsidR="00743D07" w:rsidRDefault="00743D07" w:rsidP="00743D07">
      <w:pPr>
        <w:pStyle w:val="ListParagraph"/>
        <w:numPr>
          <w:ilvl w:val="0"/>
          <w:numId w:val="7"/>
        </w:numPr>
        <w:spacing w:after="0"/>
      </w:pPr>
      <w:r w:rsidRPr="00B67158">
        <w:rPr>
          <w:b/>
          <w:bCs/>
        </w:rPr>
        <w:t xml:space="preserve">For the </w:t>
      </w:r>
      <w:r w:rsidR="00E405E4" w:rsidRPr="00B67158">
        <w:rPr>
          <w:b/>
          <w:bCs/>
        </w:rPr>
        <w:t>DERAC c</w:t>
      </w:r>
      <w:r w:rsidRPr="00B67158">
        <w:rPr>
          <w:b/>
          <w:bCs/>
        </w:rPr>
        <w:t>alculator</w:t>
      </w:r>
      <w:r w:rsidR="00F17B52" w:rsidRPr="00B67158">
        <w:rPr>
          <w:b/>
          <w:bCs/>
        </w:rPr>
        <w:t>/cost effectiveness</w:t>
      </w:r>
      <w:r w:rsidRPr="00B67158">
        <w:rPr>
          <w:b/>
          <w:bCs/>
        </w:rPr>
        <w:t xml:space="preserve"> use cases</w:t>
      </w:r>
      <w:r>
        <w:t xml:space="preserve"> the IOUs recommend that we continue to use each IOU’s</w:t>
      </w:r>
      <w:r w:rsidR="00F33327">
        <w:t xml:space="preserve"> respective</w:t>
      </w:r>
      <w:r>
        <w:t xml:space="preserve"> </w:t>
      </w:r>
      <w:r w:rsidR="00807EB1">
        <w:t>publicly available</w:t>
      </w:r>
      <w:r>
        <w:t xml:space="preserve"> transmission and distribution loss factors</w:t>
      </w:r>
      <w:r w:rsidR="00B37FB9">
        <w:t xml:space="preserve"> as</w:t>
      </w:r>
      <w:r w:rsidR="00E405E4">
        <w:t xml:space="preserve"> multiplier</w:t>
      </w:r>
      <w:r w:rsidR="00B37FB9">
        <w:t>s</w:t>
      </w:r>
      <w:r w:rsidR="00E405E4">
        <w:t xml:space="preserve"> to the avoided energy cost</w:t>
      </w:r>
      <w:r w:rsidR="00E14AA1">
        <w:t xml:space="preserve">/peak </w:t>
      </w:r>
      <w:r w:rsidR="00807EB1">
        <w:t xml:space="preserve">generation </w:t>
      </w:r>
      <w:r w:rsidR="00E14AA1">
        <w:t xml:space="preserve">capacity </w:t>
      </w:r>
      <w:r w:rsidR="00E405E4">
        <w:t>value stream</w:t>
      </w:r>
      <w:r w:rsidR="00E14AA1">
        <w:t>s</w:t>
      </w:r>
      <w:r w:rsidR="00E405E4">
        <w:t xml:space="preserve"> a DER </w:t>
      </w:r>
      <w:r w:rsidR="00B37FB9">
        <w:t xml:space="preserve">is forecasted to </w:t>
      </w:r>
      <w:r w:rsidR="00E405E4">
        <w:t>provide. T</w:t>
      </w:r>
      <w:r w:rsidR="00C30388">
        <w:t>he system average values</w:t>
      </w:r>
      <w:r w:rsidR="00807EB1">
        <w:rPr>
          <w:rStyle w:val="FootnoteReference"/>
        </w:rPr>
        <w:footnoteReference w:id="1"/>
      </w:r>
      <w:r w:rsidR="00C30388">
        <w:t xml:space="preserve"> will</w:t>
      </w:r>
      <w:r w:rsidR="00E405E4">
        <w:t xml:space="preserve"> </w:t>
      </w:r>
      <w:r w:rsidR="00030642">
        <w:t xml:space="preserve">adequately </w:t>
      </w:r>
      <w:r w:rsidR="00C30388">
        <w:t xml:space="preserve">reflect the added value of </w:t>
      </w:r>
      <w:r w:rsidR="00030642">
        <w:t xml:space="preserve">typical </w:t>
      </w:r>
      <w:r w:rsidR="00C30388">
        <w:t xml:space="preserve">DERs in reducing line losses without overcomplicating </w:t>
      </w:r>
      <w:r w:rsidR="00E405E4">
        <w:t>data input to the calculators or the analysis required to produce the LNBA mapping layers.</w:t>
      </w:r>
      <w:r w:rsidR="00BC6883" w:rsidRPr="00BC6883">
        <w:t xml:space="preserve"> </w:t>
      </w:r>
      <w:r w:rsidR="00BC6883">
        <w:t xml:space="preserve">The previously used distribution factors include both distribution primary and secondary system losses. </w:t>
      </w:r>
      <w:r w:rsidR="00807EB1">
        <w:t>Varia</w:t>
      </w:r>
      <w:r w:rsidR="00DB6834">
        <w:t>tion</w:t>
      </w:r>
      <w:r w:rsidR="00807EB1">
        <w:t xml:space="preserve"> </w:t>
      </w:r>
      <w:r w:rsidR="00825D58">
        <w:t xml:space="preserve">in secondary system losses will be disregarded due to lack of </w:t>
      </w:r>
      <w:r w:rsidR="00030642">
        <w:t>significance when evaluating DERs cost effectiveness at a high level</w:t>
      </w:r>
    </w:p>
    <w:p w14:paraId="7746EEC7" w14:textId="7F44355D" w:rsidR="00825D58" w:rsidRDefault="00743D07" w:rsidP="00825D58">
      <w:pPr>
        <w:pStyle w:val="ListParagraph"/>
        <w:numPr>
          <w:ilvl w:val="0"/>
          <w:numId w:val="7"/>
        </w:numPr>
        <w:spacing w:after="0"/>
      </w:pPr>
      <w:r w:rsidRPr="00B67158">
        <w:rPr>
          <w:b/>
          <w:bCs/>
        </w:rPr>
        <w:t xml:space="preserve">For the </w:t>
      </w:r>
      <w:r w:rsidR="00E405E4" w:rsidRPr="00B67158">
        <w:rPr>
          <w:b/>
          <w:bCs/>
        </w:rPr>
        <w:t>project deferral</w:t>
      </w:r>
      <w:r w:rsidR="00030642" w:rsidRPr="00B67158">
        <w:rPr>
          <w:b/>
          <w:bCs/>
        </w:rPr>
        <w:t>/deferral framework</w:t>
      </w:r>
      <w:r w:rsidR="00E405E4" w:rsidRPr="00B67158">
        <w:rPr>
          <w:b/>
          <w:bCs/>
        </w:rPr>
        <w:t xml:space="preserve"> use case</w:t>
      </w:r>
      <w:r w:rsidR="00E405E4">
        <w:t xml:space="preserve"> the IOUs recommend </w:t>
      </w:r>
      <w:r w:rsidR="00B37FB9">
        <w:t>that</w:t>
      </w:r>
      <w:r w:rsidR="00195811">
        <w:t xml:space="preserve"> </w:t>
      </w:r>
      <w:r w:rsidR="004B4DF5">
        <w:t>some level of</w:t>
      </w:r>
      <w:r w:rsidR="00B67158">
        <w:t xml:space="preserve"> locational differentiation of losses will be incorporated into the LNBA tool;</w:t>
      </w:r>
      <w:r w:rsidR="004B4DF5">
        <w:t xml:space="preserve"> the level of detail </w:t>
      </w:r>
      <w:r w:rsidR="00DB6834">
        <w:t xml:space="preserve">is </w:t>
      </w:r>
      <w:r w:rsidR="004B4DF5">
        <w:t>contingent on volume of projects identified in each IOU</w:t>
      </w:r>
      <w:r w:rsidR="00DB6834">
        <w:t>’</w:t>
      </w:r>
      <w:r w:rsidR="004B4DF5">
        <w:t xml:space="preserve">s </w:t>
      </w:r>
      <w:r w:rsidR="00DB6834">
        <w:t>system-</w:t>
      </w:r>
      <w:r w:rsidR="004B4DF5">
        <w:t>wide rollout of LNBA</w:t>
      </w:r>
      <w:r w:rsidR="00DB6834">
        <w:t xml:space="preserve"> for the deferral use case</w:t>
      </w:r>
      <w:r w:rsidR="00195811">
        <w:t xml:space="preserve">. </w:t>
      </w:r>
      <w:r w:rsidR="00F17B52">
        <w:t xml:space="preserve">The more location specific loss factors will </w:t>
      </w:r>
      <w:r w:rsidR="00B67158">
        <w:t>be included</w:t>
      </w:r>
      <w:r w:rsidR="00F17B52">
        <w:t xml:space="preserve"> in the LNBA tool to be recalculated and</w:t>
      </w:r>
      <w:r w:rsidR="002E61BD">
        <w:t xml:space="preserve"> displayed on the heat map</w:t>
      </w:r>
      <w:r w:rsidR="00786EBE">
        <w:t>s</w:t>
      </w:r>
      <w:r w:rsidR="002E61BD">
        <w:t xml:space="preserve">. </w:t>
      </w:r>
      <w:r w:rsidR="00F17B52">
        <w:t>As a potential future improvement of the LNBA tool, l</w:t>
      </w:r>
      <w:r w:rsidR="008A4BC4">
        <w:t xml:space="preserve">ocational loss factors would also reflect different voltage levels at which DER may be deployed: primary or secondary. </w:t>
      </w:r>
      <w:r w:rsidR="00B67158">
        <w:t>Considering the challenges and variation of secondary systems, t</w:t>
      </w:r>
      <w:r w:rsidR="00F17B52">
        <w:t xml:space="preserve">he first initial implementation will include loss factors from the primary distribution system. </w:t>
      </w:r>
      <w:r w:rsidR="00DB6834">
        <w:t xml:space="preserve">Consistent with the analysis presented here, some </w:t>
      </w:r>
      <w:r w:rsidR="004E4033">
        <w:t xml:space="preserve">DERs </w:t>
      </w:r>
      <w:r w:rsidR="00825D58">
        <w:t>not coincident with load</w:t>
      </w:r>
      <w:r w:rsidR="0040560B">
        <w:t xml:space="preserve"> </w:t>
      </w:r>
      <w:r w:rsidR="00B54A5A">
        <w:t xml:space="preserve">that </w:t>
      </w:r>
      <w:r w:rsidR="00DB6834">
        <w:t xml:space="preserve">may </w:t>
      </w:r>
      <w:r w:rsidR="0040560B">
        <w:t xml:space="preserve">increase losses </w:t>
      </w:r>
      <w:r w:rsidR="00DB6834">
        <w:t xml:space="preserve">and </w:t>
      </w:r>
      <w:r w:rsidR="00B54A5A">
        <w:t>will be assessed as providing</w:t>
      </w:r>
      <w:r w:rsidR="0040560B">
        <w:t xml:space="preserve"> less </w:t>
      </w:r>
      <w:r w:rsidR="00DB6834">
        <w:t xml:space="preserve">generation </w:t>
      </w:r>
      <w:r w:rsidR="0040560B">
        <w:t xml:space="preserve">avoided </w:t>
      </w:r>
      <w:r w:rsidR="00DB6834">
        <w:t>costs</w:t>
      </w:r>
      <w:r w:rsidR="0040560B">
        <w:t xml:space="preserve">.  </w:t>
      </w:r>
    </w:p>
    <w:p w14:paraId="5FDE18AA" w14:textId="77777777" w:rsidR="0040560B" w:rsidRDefault="0040560B" w:rsidP="0040560B">
      <w:pPr>
        <w:pStyle w:val="ListParagraph"/>
        <w:spacing w:after="0"/>
      </w:pPr>
    </w:p>
    <w:p w14:paraId="3F7A283C" w14:textId="2D173055" w:rsidR="00825D58" w:rsidRDefault="00825D58" w:rsidP="00825D58">
      <w:pPr>
        <w:pStyle w:val="Heading1"/>
        <w:spacing w:before="0"/>
      </w:pPr>
      <w:r>
        <w:t>Introduction and Background</w:t>
      </w:r>
    </w:p>
    <w:p w14:paraId="7672D730" w14:textId="77777777" w:rsidR="00743D07" w:rsidRDefault="00743D07" w:rsidP="00E47AB9">
      <w:pPr>
        <w:spacing w:after="0"/>
      </w:pPr>
    </w:p>
    <w:p w14:paraId="09BD113A" w14:textId="36C82E7B" w:rsidR="00393071" w:rsidRDefault="00825D58" w:rsidP="00E47AB9">
      <w:pPr>
        <w:spacing w:after="0"/>
      </w:pPr>
      <w:r>
        <w:t>DERs</w:t>
      </w:r>
      <w:r w:rsidR="00A57338">
        <w:t xml:space="preserve"> alter</w:t>
      </w:r>
      <w:r w:rsidR="00A72359">
        <w:t xml:space="preserve"> </w:t>
      </w:r>
      <w:r w:rsidR="008A4BC4">
        <w:t xml:space="preserve">the amount of </w:t>
      </w:r>
      <w:r w:rsidR="00A72359">
        <w:t>energy</w:t>
      </w:r>
      <w:r w:rsidR="00A57338">
        <w:t xml:space="preserve"> </w:t>
      </w:r>
      <w:r>
        <w:t xml:space="preserve">losses </w:t>
      </w:r>
      <w:r w:rsidR="00393071">
        <w:t>on</w:t>
      </w:r>
      <w:r>
        <w:t xml:space="preserve"> various parts of the electric grid differently</w:t>
      </w:r>
      <w:r w:rsidR="007E76C9">
        <w:t xml:space="preserve">, therefore </w:t>
      </w:r>
      <w:r w:rsidR="00A72359">
        <w:t xml:space="preserve">the IOUs have segregated the evaluation of line losses to different portions of </w:t>
      </w:r>
      <w:r w:rsidR="007E76C9">
        <w:t xml:space="preserve">electric </w:t>
      </w:r>
      <w:r w:rsidR="00A72359">
        <w:t>system</w:t>
      </w:r>
      <w:r w:rsidR="007E76C9">
        <w:t>. The IOUs have evaluated DER impact on the</w:t>
      </w:r>
      <w:r w:rsidR="0040560B">
        <w:t xml:space="preserve"> losses realized on the</w:t>
      </w:r>
      <w:r w:rsidR="007E76C9">
        <w:t xml:space="preserve"> transmission</w:t>
      </w:r>
      <w:r w:rsidR="00010EB9">
        <w:t>,</w:t>
      </w:r>
      <w:r w:rsidR="002C37DC">
        <w:t xml:space="preserve"> sub transmission</w:t>
      </w:r>
      <w:r w:rsidR="00FE5328">
        <w:t xml:space="preserve"> (blue)</w:t>
      </w:r>
      <w:r w:rsidR="002C37DC">
        <w:t>,</w:t>
      </w:r>
      <w:r w:rsidR="00010EB9">
        <w:t xml:space="preserve"> distribution primary</w:t>
      </w:r>
      <w:r w:rsidR="00FE5328">
        <w:t xml:space="preserve"> (green)</w:t>
      </w:r>
      <w:r w:rsidR="00010EB9">
        <w:t>, and distribution secondary systems</w:t>
      </w:r>
      <w:r w:rsidR="00FE5328">
        <w:t xml:space="preserve"> (red)</w:t>
      </w:r>
      <w:r w:rsidR="007E76C9">
        <w:t xml:space="preserve">. </w:t>
      </w:r>
      <w:r w:rsidR="00460706">
        <w:t xml:space="preserve">The diagram below illustrates these separate systems. </w:t>
      </w:r>
    </w:p>
    <w:p w14:paraId="63B539CA" w14:textId="10EDB722" w:rsidR="00393071" w:rsidRDefault="00460706" w:rsidP="00460706">
      <w:pPr>
        <w:spacing w:after="0"/>
      </w:pPr>
      <w:r>
        <w:rPr>
          <w:noProof/>
        </w:rPr>
        <w:lastRenderedPageBreak/>
        <w:drawing>
          <wp:inline distT="0" distB="0" distL="0" distR="0" wp14:anchorId="0A975B5C" wp14:editId="3E279D79">
            <wp:extent cx="5943600" cy="258506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81" t="14359" r="52725" b="20513"/>
                    <a:stretch/>
                  </pic:blipFill>
                  <pic:spPr bwMode="auto">
                    <a:xfrm>
                      <a:off x="0" y="0"/>
                      <a:ext cx="6023464" cy="2619795"/>
                    </a:xfrm>
                    <a:prstGeom prst="rect">
                      <a:avLst/>
                    </a:prstGeom>
                    <a:ln>
                      <a:noFill/>
                    </a:ln>
                    <a:extLst>
                      <a:ext uri="{53640926-AAD7-44D8-BBD7-CCE9431645EC}">
                        <a14:shadowObscured xmlns:a14="http://schemas.microsoft.com/office/drawing/2010/main"/>
                      </a:ext>
                    </a:extLst>
                  </pic:spPr>
                </pic:pic>
              </a:graphicData>
            </a:graphic>
          </wp:inline>
        </w:drawing>
      </w:r>
    </w:p>
    <w:p w14:paraId="7A4E2428" w14:textId="201E7F66" w:rsidR="00393071" w:rsidRDefault="00393071" w:rsidP="00460706">
      <w:pPr>
        <w:spacing w:after="0"/>
      </w:pPr>
    </w:p>
    <w:p w14:paraId="7CAFD55C" w14:textId="1EE58ACB" w:rsidR="002C37DC" w:rsidRDefault="00632733" w:rsidP="00A949E1">
      <w:pPr>
        <w:spacing w:after="0"/>
      </w:pPr>
      <w:r>
        <w:t xml:space="preserve">As part of Demonstration Project B (Demo B), the IOUs </w:t>
      </w:r>
      <w:r w:rsidR="00E1363C">
        <w:t>coordinat</w:t>
      </w:r>
      <w:r>
        <w:t xml:space="preserve">ed </w:t>
      </w:r>
      <w:r w:rsidR="00E1363C">
        <w:t xml:space="preserve">with E3 to develop </w:t>
      </w:r>
      <w:r>
        <w:t xml:space="preserve">the LNBA </w:t>
      </w:r>
      <w:r w:rsidR="007303C2">
        <w:t xml:space="preserve">calculator </w:t>
      </w:r>
      <w:r>
        <w:t xml:space="preserve">tool which includes IOU system wide </w:t>
      </w:r>
      <w:r w:rsidR="007303C2">
        <w:t>average</w:t>
      </w:r>
      <w:r>
        <w:t xml:space="preserve"> loss factors</w:t>
      </w:r>
      <w:r w:rsidR="007303C2">
        <w:t xml:space="preserve"> for distribution and transmission</w:t>
      </w:r>
      <w:r>
        <w:t xml:space="preserve">. </w:t>
      </w:r>
      <w:r w:rsidR="00E05089">
        <w:t>The loss factors were used to</w:t>
      </w:r>
      <w:r w:rsidR="007303C2">
        <w:t xml:space="preserve"> </w:t>
      </w:r>
      <w:r w:rsidR="00E05089">
        <w:t>estimate the</w:t>
      </w:r>
      <w:r w:rsidR="007303C2">
        <w:t xml:space="preserve"> additional</w:t>
      </w:r>
      <w:r w:rsidR="00E05089">
        <w:t xml:space="preserve"> </w:t>
      </w:r>
      <w:r w:rsidR="007303C2">
        <w:t>avoided energy costs</w:t>
      </w:r>
      <w:r w:rsidR="002C37DC">
        <w:t xml:space="preserve">, avoided generation costs, </w:t>
      </w:r>
      <w:r w:rsidR="007303C2">
        <w:t xml:space="preserve">and </w:t>
      </w:r>
      <w:r w:rsidR="002C37DC">
        <w:t>avoided</w:t>
      </w:r>
      <w:r w:rsidR="007303C2">
        <w:t xml:space="preserve"> capacity </w:t>
      </w:r>
      <w:r w:rsidR="002C37DC">
        <w:t xml:space="preserve">needs at peak realized by </w:t>
      </w:r>
      <w:r w:rsidR="006069E6">
        <w:t xml:space="preserve">a DER in </w:t>
      </w:r>
      <w:r w:rsidR="002C37DC">
        <w:t>reducing line losses</w:t>
      </w:r>
      <w:r w:rsidR="00E05089">
        <w:t xml:space="preserve">. </w:t>
      </w:r>
      <w:r w:rsidR="00126B8A">
        <w:t xml:space="preserve">To clarify </w:t>
      </w:r>
      <w:r w:rsidR="008221B1">
        <w:t>how these loss factors were applied in</w:t>
      </w:r>
      <w:r w:rsidR="00126B8A">
        <w:t xml:space="preserve"> </w:t>
      </w:r>
      <w:r w:rsidR="008221B1">
        <w:t xml:space="preserve">evaluating DER value </w:t>
      </w:r>
      <w:r w:rsidR="00126B8A">
        <w:t>see the example</w:t>
      </w:r>
      <w:r w:rsidR="008221B1">
        <w:t xml:space="preserve"> below</w:t>
      </w:r>
      <w:r w:rsidR="00126B8A">
        <w:t>.</w:t>
      </w:r>
      <w:r w:rsidR="008822AE">
        <w:rPr>
          <w:rStyle w:val="FootnoteReference"/>
        </w:rPr>
        <w:footnoteReference w:id="2"/>
      </w:r>
      <w:r w:rsidR="00126B8A">
        <w:t xml:space="preserve"> </w:t>
      </w:r>
    </w:p>
    <w:p w14:paraId="16282831" w14:textId="650BCE6A" w:rsidR="00126B8A" w:rsidRDefault="00126B8A" w:rsidP="00A949E1">
      <w:pPr>
        <w:spacing w:after="0"/>
      </w:pPr>
    </w:p>
    <w:p w14:paraId="10FAA72E" w14:textId="0CFE210D" w:rsidR="00126B8A" w:rsidRDefault="00126B8A" w:rsidP="00A949E1">
      <w:pPr>
        <w:spacing w:after="0"/>
      </w:pPr>
      <w:r>
        <w:t>EXAMPLE:</w:t>
      </w:r>
    </w:p>
    <w:p w14:paraId="0D672080" w14:textId="0772ADC8" w:rsidR="002C37DC" w:rsidRDefault="002C37DC" w:rsidP="00A949E1">
      <w:pPr>
        <w:spacing w:after="0"/>
      </w:pPr>
    </w:p>
    <w:p w14:paraId="55817A7E" w14:textId="6D606640" w:rsidR="008221B1" w:rsidRDefault="008221B1" w:rsidP="00A949E1">
      <w:pPr>
        <w:spacing w:after="0"/>
      </w:pPr>
      <w:r>
        <w:t>IF….</w:t>
      </w:r>
    </w:p>
    <w:p w14:paraId="06E4C70E" w14:textId="1224E65E" w:rsidR="00126B8A" w:rsidRDefault="00126B8A" w:rsidP="00A949E1">
      <w:pPr>
        <w:spacing w:after="0"/>
      </w:pPr>
      <w:r>
        <w:t>Distribution System Losses</w:t>
      </w:r>
      <w:r w:rsidR="00E769B2">
        <w:t xml:space="preserve"> (D</w:t>
      </w:r>
      <w:r w:rsidR="00E769B2">
        <w:rPr>
          <w:vertAlign w:val="subscript"/>
        </w:rPr>
        <w:t>Losses</w:t>
      </w:r>
      <w:r w:rsidR="00E769B2">
        <w:t>)</w:t>
      </w:r>
      <w:r>
        <w:t xml:space="preserve"> =4%</w:t>
      </w:r>
    </w:p>
    <w:p w14:paraId="3D72D314" w14:textId="7DAC3732" w:rsidR="00126B8A" w:rsidRDefault="00126B8A" w:rsidP="00A949E1">
      <w:pPr>
        <w:spacing w:after="0"/>
      </w:pPr>
      <w:r>
        <w:t xml:space="preserve">Transmission System Losses </w:t>
      </w:r>
      <w:r w:rsidR="00E769B2">
        <w:t>(T</w:t>
      </w:r>
      <w:r w:rsidR="00E769B2">
        <w:rPr>
          <w:vertAlign w:val="subscript"/>
        </w:rPr>
        <w:t>Losses</w:t>
      </w:r>
      <w:r w:rsidR="00E769B2">
        <w:t xml:space="preserve">) </w:t>
      </w:r>
      <w:r>
        <w:t>=2%</w:t>
      </w:r>
    </w:p>
    <w:p w14:paraId="16310AFA" w14:textId="1DB01797" w:rsidR="00126B8A" w:rsidRDefault="00126B8A" w:rsidP="00A949E1">
      <w:pPr>
        <w:spacing w:after="0"/>
      </w:pPr>
      <w:r>
        <w:t>Pre DER Circuit load = 6 MW continuous</w:t>
      </w:r>
    </w:p>
    <w:p w14:paraId="07CECFAB" w14:textId="6CD1692A" w:rsidR="00126B8A" w:rsidRDefault="00126B8A" w:rsidP="00A949E1">
      <w:pPr>
        <w:spacing w:after="0"/>
      </w:pPr>
      <w:r>
        <w:t xml:space="preserve">DER </w:t>
      </w:r>
      <w:r w:rsidR="00E769B2">
        <w:t>Rating</w:t>
      </w:r>
      <w:r>
        <w:t>= 1 MW continuous</w:t>
      </w:r>
    </w:p>
    <w:p w14:paraId="29353ECF" w14:textId="263FA095" w:rsidR="00126B8A" w:rsidRDefault="00126B8A" w:rsidP="00A949E1">
      <w:pPr>
        <w:spacing w:after="0"/>
      </w:pPr>
    </w:p>
    <w:p w14:paraId="72004D5E" w14:textId="7324B119" w:rsidR="008221B1" w:rsidRDefault="008221B1" w:rsidP="00A949E1">
      <w:pPr>
        <w:spacing w:after="0"/>
      </w:pPr>
      <w:r>
        <w:t>THEN</w:t>
      </w:r>
    </w:p>
    <w:p w14:paraId="31A95EC3" w14:textId="7BFC1124" w:rsidR="00126B8A" w:rsidRDefault="00126B8A" w:rsidP="00A949E1">
      <w:pPr>
        <w:spacing w:after="0"/>
      </w:pPr>
      <w:r>
        <w:t>Pre DER</w:t>
      </w:r>
      <w:r w:rsidR="00E769B2">
        <w:t xml:space="preserve"> yearly</w:t>
      </w:r>
      <w:r>
        <w:t xml:space="preserve"> circuit energy consumption = 6MW *8760 Hours = 52,560 MWh</w:t>
      </w:r>
    </w:p>
    <w:p w14:paraId="05E797C4" w14:textId="365F4B1B" w:rsidR="00126B8A" w:rsidRPr="00126B8A" w:rsidRDefault="00126B8A" w:rsidP="00126B8A">
      <w:pPr>
        <w:spacing w:after="0"/>
      </w:pPr>
      <w:r>
        <w:t xml:space="preserve">Pre DER </w:t>
      </w:r>
      <w:r w:rsidR="00E769B2">
        <w:t xml:space="preserve">yearly </w:t>
      </w:r>
      <w:r>
        <w:t>circuit energy losses = 52,560 MWh*(T</w:t>
      </w:r>
      <w:r>
        <w:rPr>
          <w:vertAlign w:val="subscript"/>
        </w:rPr>
        <w:t>Losses</w:t>
      </w:r>
      <w:r>
        <w:t>+</w:t>
      </w:r>
      <w:r w:rsidRPr="00126B8A">
        <w:t xml:space="preserve"> </w:t>
      </w:r>
      <w:r>
        <w:t>D</w:t>
      </w:r>
      <w:r>
        <w:rPr>
          <w:vertAlign w:val="subscript"/>
        </w:rPr>
        <w:t>Losses</w:t>
      </w:r>
      <w:r>
        <w:t>) =52,560 MWh * .06 = 3153.6 MWh</w:t>
      </w:r>
    </w:p>
    <w:p w14:paraId="517EBB63" w14:textId="77777777" w:rsidR="00126B8A" w:rsidRDefault="00126B8A" w:rsidP="00A949E1">
      <w:pPr>
        <w:spacing w:after="0"/>
      </w:pPr>
    </w:p>
    <w:p w14:paraId="2B5DEF39" w14:textId="05974BFE" w:rsidR="00E769B2" w:rsidRDefault="00E769B2" w:rsidP="00A949E1">
      <w:pPr>
        <w:spacing w:after="0"/>
      </w:pPr>
      <w:r>
        <w:t>Yearly avoided e</w:t>
      </w:r>
      <w:r w:rsidR="00126B8A">
        <w:t>nergy</w:t>
      </w:r>
      <w:r>
        <w:t xml:space="preserve"> credited to DER</w:t>
      </w:r>
      <w:r w:rsidR="00126B8A">
        <w:t xml:space="preserve"> = DER </w:t>
      </w:r>
      <w:r>
        <w:t>Rating</w:t>
      </w:r>
      <w:r w:rsidR="00126B8A">
        <w:t xml:space="preserve"> *</w:t>
      </w:r>
      <w:r>
        <w:t>(1 +</w:t>
      </w:r>
      <w:r w:rsidR="00126B8A">
        <w:t xml:space="preserve"> (T</w:t>
      </w:r>
      <w:r w:rsidR="00126B8A">
        <w:rPr>
          <w:vertAlign w:val="subscript"/>
        </w:rPr>
        <w:t>Losses</w:t>
      </w:r>
      <w:r w:rsidR="00126B8A">
        <w:t>+</w:t>
      </w:r>
      <w:r w:rsidR="00126B8A" w:rsidRPr="00126B8A">
        <w:t xml:space="preserve"> </w:t>
      </w:r>
      <w:r w:rsidR="00126B8A">
        <w:t>D</w:t>
      </w:r>
      <w:r w:rsidR="00126B8A">
        <w:rPr>
          <w:vertAlign w:val="subscript"/>
        </w:rPr>
        <w:t>Losses</w:t>
      </w:r>
      <w:r w:rsidR="00126B8A">
        <w:t>)</w:t>
      </w:r>
      <w:r>
        <w:t xml:space="preserve">)* 8760 hours = </w:t>
      </w:r>
    </w:p>
    <w:p w14:paraId="3766520A" w14:textId="5350D83C" w:rsidR="00E769B2" w:rsidRPr="008221B1" w:rsidRDefault="00E769B2" w:rsidP="00A949E1">
      <w:pPr>
        <w:spacing w:after="0"/>
      </w:pPr>
      <w:r>
        <w:t xml:space="preserve">1 MW *1.06 *8760 = </w:t>
      </w:r>
      <w:r w:rsidRPr="00E769B2">
        <w:rPr>
          <w:b/>
          <w:u w:val="single"/>
        </w:rPr>
        <w:t>9285.6 MWh</w:t>
      </w:r>
      <w:r w:rsidR="008221B1" w:rsidRPr="008221B1">
        <w:t xml:space="preserve"> -8760MWh</w:t>
      </w:r>
      <w:r w:rsidR="008221B1">
        <w:t xml:space="preserve"> = </w:t>
      </w:r>
      <w:r w:rsidR="008221B1">
        <w:rPr>
          <w:b/>
          <w:u w:val="single"/>
        </w:rPr>
        <w:t>525 MWh</w:t>
      </w:r>
      <w:r w:rsidR="008221B1">
        <w:t xml:space="preserve"> exclusively derived from reduction in yearly line losses</w:t>
      </w:r>
    </w:p>
    <w:p w14:paraId="002630E6" w14:textId="542E98EE" w:rsidR="00E769B2" w:rsidRDefault="00E769B2" w:rsidP="00A949E1">
      <w:pPr>
        <w:spacing w:after="0"/>
      </w:pPr>
    </w:p>
    <w:p w14:paraId="1AADD734" w14:textId="233B6767" w:rsidR="00E769B2" w:rsidRPr="008221B1" w:rsidRDefault="00E769B2" w:rsidP="00A949E1">
      <w:pPr>
        <w:spacing w:after="0"/>
      </w:pPr>
      <w:r>
        <w:t>Avoided Generation Capacity (Resource Adequacy) = DER Rating * (1 + (T</w:t>
      </w:r>
      <w:r>
        <w:rPr>
          <w:vertAlign w:val="subscript"/>
        </w:rPr>
        <w:t>Losses</w:t>
      </w:r>
      <w:r>
        <w:t>+</w:t>
      </w:r>
      <w:r w:rsidRPr="00126B8A">
        <w:t xml:space="preserve"> </w:t>
      </w:r>
      <w:r>
        <w:t>D</w:t>
      </w:r>
      <w:r>
        <w:rPr>
          <w:vertAlign w:val="subscript"/>
        </w:rPr>
        <w:t>Losses</w:t>
      </w:r>
      <w:r>
        <w:t xml:space="preserve">)) = 1MW *(1+(.02+.04) = </w:t>
      </w:r>
      <w:r w:rsidRPr="00E769B2">
        <w:rPr>
          <w:b/>
          <w:u w:val="single"/>
        </w:rPr>
        <w:t>1.06MW</w:t>
      </w:r>
      <w:r w:rsidR="008221B1">
        <w:t xml:space="preserve"> resultant avoided RA</w:t>
      </w:r>
    </w:p>
    <w:p w14:paraId="7FE8B78D" w14:textId="1DD6886C" w:rsidR="00E769B2" w:rsidRDefault="00E769B2" w:rsidP="00A949E1">
      <w:pPr>
        <w:spacing w:after="0"/>
        <w:rPr>
          <w:b/>
          <w:u w:val="single"/>
        </w:rPr>
      </w:pPr>
    </w:p>
    <w:p w14:paraId="4A3C55CD" w14:textId="3C9B8D69" w:rsidR="00E769B2" w:rsidRPr="008221B1" w:rsidRDefault="00E769B2" w:rsidP="00A949E1">
      <w:pPr>
        <w:spacing w:after="0"/>
      </w:pPr>
      <w:r>
        <w:lastRenderedPageBreak/>
        <w:t>Increased Distribution Circuit Capacity = DER Rating * (1 +</w:t>
      </w:r>
      <w:r w:rsidRPr="00E769B2">
        <w:t xml:space="preserve"> </w:t>
      </w:r>
      <w:r>
        <w:t>D</w:t>
      </w:r>
      <w:r>
        <w:rPr>
          <w:vertAlign w:val="subscript"/>
        </w:rPr>
        <w:t>Losses</w:t>
      </w:r>
      <w:r>
        <w:t xml:space="preserve">) = 1MW *(1+.04)= </w:t>
      </w:r>
      <w:r w:rsidRPr="00E769B2">
        <w:rPr>
          <w:b/>
          <w:u w:val="single"/>
        </w:rPr>
        <w:t>1.04 MW</w:t>
      </w:r>
      <w:r w:rsidR="008221B1">
        <w:t xml:space="preserve"> Line capacity increase (For project deferral)</w:t>
      </w:r>
    </w:p>
    <w:p w14:paraId="46CDBD40" w14:textId="32F1F5E2" w:rsidR="00E769B2" w:rsidRDefault="00E769B2" w:rsidP="00A949E1">
      <w:pPr>
        <w:spacing w:after="0"/>
      </w:pPr>
    </w:p>
    <w:p w14:paraId="20A62B83" w14:textId="7C245135" w:rsidR="006069E6" w:rsidRDefault="00B340D9" w:rsidP="006069E6">
      <w:pPr>
        <w:spacing w:after="0"/>
      </w:pPr>
      <w:r>
        <w:t xml:space="preserve">The LNBA working </w:t>
      </w:r>
      <w:r w:rsidR="006069E6">
        <w:t xml:space="preserve">group </w:t>
      </w:r>
      <w:r w:rsidR="008822AE">
        <w:t>expressed</w:t>
      </w:r>
      <w:r w:rsidR="00606212">
        <w:t xml:space="preserve"> concern that</w:t>
      </w:r>
      <w:r w:rsidR="008108C5">
        <w:t xml:space="preserve"> using</w:t>
      </w:r>
      <w:r>
        <w:t xml:space="preserve"> the system average </w:t>
      </w:r>
      <w:r w:rsidR="008108C5">
        <w:t xml:space="preserve">loss </w:t>
      </w:r>
      <w:r>
        <w:t xml:space="preserve">values </w:t>
      </w:r>
      <w:r w:rsidR="008108C5">
        <w:t>was</w:t>
      </w:r>
      <w:r w:rsidR="00606212">
        <w:t xml:space="preserve"> not</w:t>
      </w:r>
      <w:r w:rsidR="008108C5">
        <w:t xml:space="preserve"> a sufficient way to account for </w:t>
      </w:r>
      <w:r w:rsidR="009F4725">
        <w:t>the locational variability in</w:t>
      </w:r>
      <w:r w:rsidR="002C37DC">
        <w:t xml:space="preserve"> DER line loss reduction.</w:t>
      </w:r>
      <w:r w:rsidR="006069E6" w:rsidRPr="006069E6">
        <w:t xml:space="preserve"> </w:t>
      </w:r>
      <w:r w:rsidR="00606212">
        <w:t>While t</w:t>
      </w:r>
      <w:r w:rsidR="006069E6">
        <w:t>he LNBA working group acknowledged that the variation in loss</w:t>
      </w:r>
      <w:r w:rsidR="00FE5328">
        <w:t>es</w:t>
      </w:r>
      <w:r w:rsidR="006069E6">
        <w:t xml:space="preserve"> may not be significant enough to warrant intense IOU effort to develop the tools necessary to estimate line loss reduction more accurately</w:t>
      </w:r>
      <w:r w:rsidR="00FE5328">
        <w:t xml:space="preserve"> </w:t>
      </w:r>
      <w:r w:rsidR="00FE5328">
        <w:t xml:space="preserve">and then extend the LNBA tool </w:t>
      </w:r>
      <w:r w:rsidR="00C935E2">
        <w:t>to incorporate more granular losses system-wide</w:t>
      </w:r>
      <w:r w:rsidR="00606212">
        <w:t>, the working group decided it was worth examining in greater detail</w:t>
      </w:r>
      <w:r w:rsidR="006069E6">
        <w:t xml:space="preserve">. The IOUs </w:t>
      </w:r>
      <w:r w:rsidR="00606212">
        <w:t>then performed</w:t>
      </w:r>
      <w:r w:rsidR="006069E6">
        <w:t xml:space="preserve"> </w:t>
      </w:r>
      <w:r w:rsidR="00606212">
        <w:t xml:space="preserve">a more detailed </w:t>
      </w:r>
      <w:r w:rsidR="006069E6">
        <w:t xml:space="preserve">evaluation of line loss variation </w:t>
      </w:r>
      <w:r w:rsidR="00195811">
        <w:t>for</w:t>
      </w:r>
      <w:r w:rsidR="006069E6">
        <w:t xml:space="preserve"> the greater WG to determine if </w:t>
      </w:r>
      <w:r w:rsidR="00606212">
        <w:t>detailed calculations of line losses were</w:t>
      </w:r>
      <w:r w:rsidR="006069E6">
        <w:t xml:space="preserve"> worth pursuing and if so to what degree of accuracy. The results of this preliminary study </w:t>
      </w:r>
      <w:r w:rsidR="00606212">
        <w:t>were</w:t>
      </w:r>
      <w:r w:rsidR="006069E6">
        <w:t xml:space="preserve"> presen</w:t>
      </w:r>
      <w:r w:rsidR="00606212">
        <w:t>ted at the November WG meeting and are included below.</w:t>
      </w:r>
    </w:p>
    <w:p w14:paraId="3A0404B9" w14:textId="77777777" w:rsidR="006069E6" w:rsidRDefault="006069E6" w:rsidP="00A949E1">
      <w:pPr>
        <w:spacing w:after="0"/>
      </w:pPr>
    </w:p>
    <w:p w14:paraId="55E95E1C" w14:textId="57910C45" w:rsidR="00606212" w:rsidRDefault="00606212" w:rsidP="00606212">
      <w:pPr>
        <w:pStyle w:val="Heading1"/>
        <w:spacing w:before="0"/>
      </w:pPr>
      <w:r>
        <w:t>Line Loss Variability Study Results</w:t>
      </w:r>
    </w:p>
    <w:p w14:paraId="65E6614B" w14:textId="359B9A2E" w:rsidR="00E02067" w:rsidRDefault="00E02067" w:rsidP="00A949E1">
      <w:pPr>
        <w:spacing w:after="0"/>
      </w:pPr>
    </w:p>
    <w:p w14:paraId="6D905666" w14:textId="05CB944B" w:rsidR="00CF3308" w:rsidRDefault="00606212" w:rsidP="00606212">
      <w:pPr>
        <w:spacing w:after="0"/>
      </w:pPr>
      <w:r>
        <w:t>Per the September LNBA WG meeting</w:t>
      </w:r>
      <w:r w:rsidR="0006049F">
        <w:t xml:space="preserve"> e</w:t>
      </w:r>
      <w:r w:rsidR="00CF3308">
        <w:t>ach IOU</w:t>
      </w:r>
      <w:r w:rsidR="00E643E2">
        <w:t xml:space="preserve"> was to</w:t>
      </w:r>
      <w:r w:rsidR="00CF3308">
        <w:t xml:space="preserve"> </w:t>
      </w:r>
      <w:r w:rsidR="00E643E2">
        <w:t xml:space="preserve">perform </w:t>
      </w:r>
      <w:r w:rsidR="006C59F2">
        <w:t>an analysis using</w:t>
      </w:r>
      <w:r w:rsidR="00CF3308">
        <w:t xml:space="preserve"> the following steps:</w:t>
      </w:r>
    </w:p>
    <w:p w14:paraId="2F6B368E" w14:textId="77777777" w:rsidR="00E643E2" w:rsidRDefault="00E643E2" w:rsidP="00606212">
      <w:pPr>
        <w:spacing w:after="0"/>
      </w:pPr>
    </w:p>
    <w:p w14:paraId="647C4189" w14:textId="77777777" w:rsidR="007D19A5" w:rsidRPr="00046FD0" w:rsidRDefault="00760256" w:rsidP="00046FD0">
      <w:pPr>
        <w:numPr>
          <w:ilvl w:val="0"/>
          <w:numId w:val="10"/>
        </w:numPr>
        <w:spacing w:after="0" w:line="240" w:lineRule="auto"/>
      </w:pPr>
      <w:r w:rsidRPr="00046FD0">
        <w:t>Select a sample size of distribution feeders to evaluate in preliminary study</w:t>
      </w:r>
    </w:p>
    <w:p w14:paraId="0DEB134B" w14:textId="77777777" w:rsidR="007D19A5" w:rsidRPr="00046FD0" w:rsidRDefault="00760256" w:rsidP="00046FD0">
      <w:pPr>
        <w:numPr>
          <w:ilvl w:val="0"/>
          <w:numId w:val="10"/>
        </w:numPr>
        <w:spacing w:after="0" w:line="240" w:lineRule="auto"/>
      </w:pPr>
      <w:r w:rsidRPr="00046FD0">
        <w:t>Define circuit types to reflect differing characteristics</w:t>
      </w:r>
    </w:p>
    <w:p w14:paraId="0E4FD4A7" w14:textId="45511714" w:rsidR="007D19A5" w:rsidRPr="00046FD0" w:rsidRDefault="00760256" w:rsidP="00046FD0">
      <w:pPr>
        <w:numPr>
          <w:ilvl w:val="1"/>
          <w:numId w:val="10"/>
        </w:numPr>
        <w:spacing w:after="0"/>
      </w:pPr>
      <w:r w:rsidRPr="00046FD0">
        <w:t>i.e. Rural large service area</w:t>
      </w:r>
      <w:r w:rsidR="00046FD0">
        <w:t>, urban small service territory</w:t>
      </w:r>
      <w:r w:rsidRPr="00046FD0">
        <w:t>, and suburban medium size territory</w:t>
      </w:r>
    </w:p>
    <w:p w14:paraId="279DCB2F" w14:textId="77777777" w:rsidR="007D19A5" w:rsidRPr="00046FD0" w:rsidRDefault="00760256" w:rsidP="00046FD0">
      <w:pPr>
        <w:numPr>
          <w:ilvl w:val="1"/>
          <w:numId w:val="10"/>
        </w:numPr>
        <w:spacing w:after="0"/>
      </w:pPr>
      <w:r w:rsidRPr="00046FD0">
        <w:t xml:space="preserve">Uniform loading, spot load, express run circuit </w:t>
      </w:r>
    </w:p>
    <w:p w14:paraId="6B888C9C" w14:textId="77777777" w:rsidR="007D19A5" w:rsidRPr="00046FD0" w:rsidRDefault="00760256" w:rsidP="00046FD0">
      <w:pPr>
        <w:numPr>
          <w:ilvl w:val="1"/>
          <w:numId w:val="10"/>
        </w:numPr>
        <w:spacing w:after="0"/>
      </w:pPr>
      <w:r w:rsidRPr="00046FD0">
        <w:t xml:space="preserve">High % loaded circuit, medium %. Low % </w:t>
      </w:r>
    </w:p>
    <w:p w14:paraId="708721E6" w14:textId="77777777" w:rsidR="007D19A5" w:rsidRPr="00046FD0" w:rsidRDefault="00760256" w:rsidP="00046FD0">
      <w:pPr>
        <w:numPr>
          <w:ilvl w:val="0"/>
          <w:numId w:val="10"/>
        </w:numPr>
        <w:spacing w:after="0"/>
      </w:pPr>
      <w:r w:rsidRPr="00046FD0">
        <w:t xml:space="preserve">Evaluate base circuit model for maximum, minimum, and median loading levels to see the baseline %/kW losses on each circuit </w:t>
      </w:r>
    </w:p>
    <w:p w14:paraId="0B2C5DAF" w14:textId="77777777" w:rsidR="007D19A5" w:rsidRPr="00046FD0" w:rsidRDefault="00760256" w:rsidP="00046FD0">
      <w:pPr>
        <w:numPr>
          <w:ilvl w:val="0"/>
          <w:numId w:val="10"/>
        </w:numPr>
        <w:spacing w:after="0"/>
      </w:pPr>
      <w:r w:rsidRPr="00046FD0">
        <w:t>Model generation on baseline conditions created in #2</w:t>
      </w:r>
    </w:p>
    <w:p w14:paraId="4012B00E" w14:textId="77777777" w:rsidR="007D19A5" w:rsidRPr="00046FD0" w:rsidRDefault="00760256" w:rsidP="00046FD0">
      <w:pPr>
        <w:numPr>
          <w:ilvl w:val="0"/>
          <w:numId w:val="10"/>
        </w:numPr>
        <w:spacing w:after="0"/>
      </w:pPr>
      <w:r w:rsidRPr="00046FD0">
        <w:t>Record the kW losses from baseline condition determined from #2</w:t>
      </w:r>
    </w:p>
    <w:p w14:paraId="27F8ECBE" w14:textId="77777777" w:rsidR="007D19A5" w:rsidRPr="00046FD0" w:rsidRDefault="00760256" w:rsidP="00046FD0">
      <w:pPr>
        <w:numPr>
          <w:ilvl w:val="0"/>
          <w:numId w:val="10"/>
        </w:numPr>
        <w:spacing w:after="0"/>
      </w:pPr>
      <w:r w:rsidRPr="00046FD0">
        <w:t>Calculate maximum losses % change and min loss %</w:t>
      </w:r>
    </w:p>
    <w:p w14:paraId="139EFED5" w14:textId="77777777" w:rsidR="007D19A5" w:rsidRPr="00046FD0" w:rsidRDefault="00760256" w:rsidP="00046FD0">
      <w:pPr>
        <w:numPr>
          <w:ilvl w:val="0"/>
          <w:numId w:val="10"/>
        </w:numPr>
        <w:spacing w:after="0"/>
      </w:pPr>
      <w:r w:rsidRPr="00046FD0">
        <w:t>Use line loss study results to estimate sensitivity on LNBA results</w:t>
      </w:r>
    </w:p>
    <w:p w14:paraId="55A2E1A2" w14:textId="1D2A182B" w:rsidR="007D19A5" w:rsidRPr="00046FD0" w:rsidRDefault="00046FD0" w:rsidP="00046FD0">
      <w:pPr>
        <w:numPr>
          <w:ilvl w:val="0"/>
          <w:numId w:val="10"/>
        </w:numPr>
        <w:spacing w:after="0"/>
      </w:pPr>
      <w:r>
        <w:t>Perform similar study for secondary network scaling generation and load</w:t>
      </w:r>
    </w:p>
    <w:p w14:paraId="341CC1FA" w14:textId="7FCB321D" w:rsidR="00606212" w:rsidRDefault="00606212" w:rsidP="006C59F2">
      <w:pPr>
        <w:spacing w:after="0"/>
        <w:ind w:left="360"/>
      </w:pPr>
    </w:p>
    <w:p w14:paraId="77653CF1" w14:textId="6239685E" w:rsidR="00046FD0" w:rsidRPr="00046FD0" w:rsidRDefault="00046FD0" w:rsidP="00046FD0">
      <w:pPr>
        <w:pStyle w:val="Heading1"/>
        <w:spacing w:before="0"/>
        <w:ind w:firstLine="360"/>
        <w:rPr>
          <w:sz w:val="24"/>
          <w:u w:val="single"/>
        </w:rPr>
      </w:pPr>
    </w:p>
    <w:p w14:paraId="45EB3BC0" w14:textId="6ADD7B91" w:rsidR="00046FD0" w:rsidRDefault="0082438E" w:rsidP="0019387F">
      <w:pPr>
        <w:pStyle w:val="Heading1"/>
        <w:spacing w:before="0"/>
        <w:ind w:firstLine="360"/>
        <w:rPr>
          <w:rFonts w:asciiTheme="minorHAnsi" w:hAnsiTheme="minorHAnsi" w:cstheme="minorHAnsi"/>
          <w:color w:val="auto"/>
          <w:sz w:val="24"/>
        </w:rPr>
      </w:pPr>
      <w:r w:rsidRPr="0019387F">
        <w:rPr>
          <w:sz w:val="24"/>
          <w:u w:val="single"/>
        </w:rPr>
        <w:t>Example Results:</w:t>
      </w:r>
    </w:p>
    <w:p w14:paraId="4520A84F" w14:textId="7A22C381" w:rsidR="00046FD0" w:rsidRDefault="0082438E" w:rsidP="00046FD0">
      <w:pPr>
        <w:rPr>
          <w:rFonts w:cstheme="minorHAnsi"/>
        </w:rPr>
      </w:pPr>
      <w:r>
        <w:rPr>
          <w:rFonts w:cstheme="minorHAnsi"/>
        </w:rPr>
        <w:t>To aid with interpretation of the results, consider the following example:</w:t>
      </w:r>
    </w:p>
    <w:p w14:paraId="65333FC8" w14:textId="60ECD68A" w:rsidR="0082438E" w:rsidRDefault="0082438E" w:rsidP="00046FD0">
      <w:pPr>
        <w:rPr>
          <w:rFonts w:cstheme="minorHAnsi"/>
        </w:rPr>
      </w:pPr>
      <w:r>
        <w:rPr>
          <w:rFonts w:cstheme="minorHAnsi"/>
        </w:rPr>
        <w:t>Power flow results with no new DER added:</w:t>
      </w:r>
    </w:p>
    <w:p w14:paraId="7529D567" w14:textId="29463F5F" w:rsidR="0082438E" w:rsidRDefault="0082438E" w:rsidP="0019387F">
      <w:pPr>
        <w:pStyle w:val="ListParagraph"/>
        <w:numPr>
          <w:ilvl w:val="0"/>
          <w:numId w:val="31"/>
        </w:numPr>
        <w:rPr>
          <w:rFonts w:cstheme="minorHAnsi"/>
        </w:rPr>
      </w:pPr>
      <w:r>
        <w:rPr>
          <w:rFonts w:cstheme="minorHAnsi"/>
        </w:rPr>
        <w:t>Feeder Native Load (aka end use consumption): 5 MW</w:t>
      </w:r>
    </w:p>
    <w:p w14:paraId="6E8C50BE" w14:textId="693B5F4A" w:rsidR="0082438E" w:rsidRDefault="0082438E" w:rsidP="0019387F">
      <w:pPr>
        <w:pStyle w:val="ListParagraph"/>
        <w:numPr>
          <w:ilvl w:val="0"/>
          <w:numId w:val="31"/>
        </w:numPr>
        <w:rPr>
          <w:rFonts w:cstheme="minorHAnsi"/>
        </w:rPr>
      </w:pPr>
      <w:r>
        <w:rPr>
          <w:rFonts w:cstheme="minorHAnsi"/>
        </w:rPr>
        <w:t xml:space="preserve">Feeder Line </w:t>
      </w:r>
      <w:r w:rsidR="00D641E9">
        <w:rPr>
          <w:rFonts w:cstheme="minorHAnsi"/>
        </w:rPr>
        <w:t>Losses</w:t>
      </w:r>
      <w:r>
        <w:rPr>
          <w:rFonts w:cstheme="minorHAnsi"/>
        </w:rPr>
        <w:t>: 250 kW</w:t>
      </w:r>
    </w:p>
    <w:p w14:paraId="7DE63244" w14:textId="2FD19494" w:rsidR="0082438E" w:rsidRDefault="0082438E" w:rsidP="0019387F">
      <w:pPr>
        <w:pStyle w:val="ListParagraph"/>
        <w:numPr>
          <w:ilvl w:val="0"/>
          <w:numId w:val="31"/>
        </w:numPr>
        <w:rPr>
          <w:rFonts w:cstheme="minorHAnsi"/>
        </w:rPr>
      </w:pPr>
      <w:r>
        <w:rPr>
          <w:rFonts w:cstheme="minorHAnsi"/>
        </w:rPr>
        <w:t>New DER Generation: 0 MW</w:t>
      </w:r>
    </w:p>
    <w:p w14:paraId="4C81EF99" w14:textId="6BFCC1FF" w:rsidR="0082438E" w:rsidRDefault="0082438E" w:rsidP="0082438E">
      <w:pPr>
        <w:rPr>
          <w:rFonts w:cstheme="minorHAnsi"/>
        </w:rPr>
      </w:pPr>
      <w:r>
        <w:rPr>
          <w:rFonts w:cstheme="minorHAnsi"/>
        </w:rPr>
        <w:t>Power flow results with new DER added:</w:t>
      </w:r>
    </w:p>
    <w:p w14:paraId="08F4B6E4" w14:textId="06F9D70A" w:rsidR="0082438E" w:rsidRDefault="0082438E" w:rsidP="0082438E">
      <w:pPr>
        <w:pStyle w:val="ListParagraph"/>
        <w:numPr>
          <w:ilvl w:val="0"/>
          <w:numId w:val="31"/>
        </w:numPr>
        <w:rPr>
          <w:rFonts w:cstheme="minorHAnsi"/>
        </w:rPr>
      </w:pPr>
      <w:r>
        <w:rPr>
          <w:rFonts w:cstheme="minorHAnsi"/>
        </w:rPr>
        <w:t>Feeder Native Load (aka end use consumption): 5 MW</w:t>
      </w:r>
    </w:p>
    <w:p w14:paraId="309D3F94" w14:textId="077BD0CC" w:rsidR="0082438E" w:rsidRDefault="0082438E" w:rsidP="0019387F">
      <w:pPr>
        <w:pStyle w:val="ListParagraph"/>
        <w:numPr>
          <w:ilvl w:val="0"/>
          <w:numId w:val="31"/>
        </w:numPr>
        <w:rPr>
          <w:rFonts w:cstheme="minorHAnsi"/>
        </w:rPr>
      </w:pPr>
      <w:r w:rsidRPr="0082438E">
        <w:rPr>
          <w:rFonts w:cstheme="minorHAnsi"/>
        </w:rPr>
        <w:t xml:space="preserve">Feeder Line </w:t>
      </w:r>
      <w:r w:rsidR="00D641E9" w:rsidRPr="0082438E">
        <w:rPr>
          <w:rFonts w:cstheme="minorHAnsi"/>
        </w:rPr>
        <w:t>Losses</w:t>
      </w:r>
      <w:r w:rsidRPr="0082438E">
        <w:rPr>
          <w:rFonts w:cstheme="minorHAnsi"/>
        </w:rPr>
        <w:t>: 2</w:t>
      </w:r>
      <w:r>
        <w:rPr>
          <w:rFonts w:cstheme="minorHAnsi"/>
        </w:rPr>
        <w:t>0</w:t>
      </w:r>
      <w:r w:rsidRPr="0082438E">
        <w:rPr>
          <w:rFonts w:cstheme="minorHAnsi"/>
        </w:rPr>
        <w:t>0 kW</w:t>
      </w:r>
    </w:p>
    <w:p w14:paraId="42164909" w14:textId="33AD01B8" w:rsidR="0082438E" w:rsidRDefault="0082438E" w:rsidP="0019387F">
      <w:pPr>
        <w:pStyle w:val="ListParagraph"/>
        <w:numPr>
          <w:ilvl w:val="0"/>
          <w:numId w:val="31"/>
        </w:numPr>
        <w:rPr>
          <w:rFonts w:cstheme="minorHAnsi"/>
        </w:rPr>
      </w:pPr>
      <w:r w:rsidRPr="0082438E">
        <w:rPr>
          <w:rFonts w:cstheme="minorHAnsi"/>
        </w:rPr>
        <w:lastRenderedPageBreak/>
        <w:t xml:space="preserve">New DER Generation: </w:t>
      </w:r>
      <w:r>
        <w:rPr>
          <w:rFonts w:cstheme="minorHAnsi"/>
        </w:rPr>
        <w:t>1</w:t>
      </w:r>
      <w:r w:rsidRPr="0082438E">
        <w:rPr>
          <w:rFonts w:cstheme="minorHAnsi"/>
        </w:rPr>
        <w:t xml:space="preserve"> MW</w:t>
      </w:r>
    </w:p>
    <w:p w14:paraId="252D44AB" w14:textId="54F5ACDE" w:rsidR="00D43FE4" w:rsidRDefault="0082438E" w:rsidP="00046FD0">
      <w:pPr>
        <w:rPr>
          <w:rFonts w:cstheme="minorHAnsi"/>
        </w:rPr>
      </w:pPr>
      <w:r>
        <w:rPr>
          <w:rFonts w:cstheme="minorHAnsi"/>
        </w:rPr>
        <w:t xml:space="preserve">The effect of adding a 1 MW DER on the line losses was a 50 kW reduction. Hence as a percent of the DER size, the loss factor is 50kW/1000kW = 5%. The results below are presented as percent as in the example above as well as kW. To convert kW to percent simply divide by 1,000. A hypothetical meter at the feeder head would read 5,250 kW before the DER is added and </w:t>
      </w:r>
      <w:r w:rsidR="00777385">
        <w:rPr>
          <w:rFonts w:cstheme="minorHAnsi"/>
        </w:rPr>
        <w:t>4,200 kW after the new DER.</w:t>
      </w:r>
    </w:p>
    <w:p w14:paraId="0FDD0B2C" w14:textId="7D7F71E2" w:rsidR="00D43FE4" w:rsidRDefault="00D43FE4" w:rsidP="00046FD0">
      <w:pPr>
        <w:rPr>
          <w:rFonts w:cstheme="minorHAnsi"/>
        </w:rPr>
      </w:pPr>
    </w:p>
    <w:p w14:paraId="1E0DB49A" w14:textId="20972A2B" w:rsidR="00D43FE4" w:rsidRPr="00046FD0" w:rsidRDefault="00D43FE4" w:rsidP="00046FD0">
      <w:pPr>
        <w:rPr>
          <w:rFonts w:cstheme="minorHAnsi"/>
        </w:rPr>
      </w:pPr>
    </w:p>
    <w:p w14:paraId="0A4563F3" w14:textId="4F65D98E" w:rsidR="00046FD0" w:rsidRPr="00046FD0" w:rsidRDefault="00046FD0" w:rsidP="00046FD0">
      <w:pPr>
        <w:pStyle w:val="Heading1"/>
        <w:spacing w:before="0"/>
        <w:ind w:firstLine="360"/>
        <w:rPr>
          <w:sz w:val="24"/>
          <w:u w:val="single"/>
        </w:rPr>
      </w:pPr>
      <w:r w:rsidRPr="00046FD0">
        <w:rPr>
          <w:sz w:val="24"/>
          <w:u w:val="single"/>
        </w:rPr>
        <w:t xml:space="preserve">Southern California Edison Results </w:t>
      </w:r>
    </w:p>
    <w:p w14:paraId="348FAF2F" w14:textId="75E9E79F" w:rsidR="00062F4C" w:rsidRDefault="00062F4C" w:rsidP="00D04B9A">
      <w:pPr>
        <w:pStyle w:val="ListParagraph"/>
        <w:spacing w:after="0"/>
        <w:ind w:left="768"/>
      </w:pPr>
    </w:p>
    <w:p w14:paraId="2967AA49" w14:textId="00E6C519" w:rsidR="00744A32" w:rsidRPr="00744A32" w:rsidRDefault="00744A32" w:rsidP="00744A32">
      <w:pPr>
        <w:jc w:val="center"/>
        <w:rPr>
          <w:b/>
          <w:sz w:val="24"/>
        </w:rPr>
      </w:pPr>
      <w:r w:rsidRPr="00744A32">
        <w:rPr>
          <w:b/>
        </w:rPr>
        <w:t>Distribution Primary</w:t>
      </w:r>
      <w:r>
        <w:t xml:space="preserve"> </w:t>
      </w:r>
      <w:r w:rsidRPr="00744A32">
        <w:rPr>
          <w:b/>
          <w:sz w:val="24"/>
        </w:rPr>
        <w:t xml:space="preserve">% </w:t>
      </w:r>
      <w:r w:rsidRPr="00D43FE4">
        <w:rPr>
          <w:b/>
          <w:sz w:val="24"/>
        </w:rPr>
        <w:t xml:space="preserve">Line Loss Reduction Relative to 1 MW Generator Nameplate  </w:t>
      </w:r>
    </w:p>
    <w:p w14:paraId="73272502" w14:textId="4E832670" w:rsidR="00D345CE" w:rsidRPr="00D345CE" w:rsidRDefault="00046FD0" w:rsidP="00744A32">
      <w:pPr>
        <w:pStyle w:val="ListParagraph"/>
        <w:spacing w:after="0"/>
      </w:pPr>
      <w:r w:rsidRPr="00046FD0">
        <w:rPr>
          <w:noProof/>
        </w:rPr>
        <w:drawing>
          <wp:inline distT="0" distB="0" distL="0" distR="0" wp14:anchorId="3D40572A" wp14:editId="68479ACB">
            <wp:extent cx="5022215" cy="3061252"/>
            <wp:effectExtent l="0" t="0" r="6985" b="6350"/>
            <wp:docPr id="1" name="Chart 1">
              <a:extLst xmlns:a="http://schemas.openxmlformats.org/drawingml/2006/main">
                <a:ext uri="{FF2B5EF4-FFF2-40B4-BE49-F238E27FC236}">
                  <a16:creationId xmlns:pic="http://schemas.openxmlformats.org/drawingml/2006/picture" xmlns:a14="http://schemas.microsoft.com/office/drawing/2010/main" xmlns:c="http://schemas.openxmlformats.org/drawingml/2006/chart"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F6E91B5-E27C-4A47-9FC2-87A54DBAFE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30DAB86" w14:textId="77777777" w:rsidR="00D43FE4" w:rsidRDefault="00D43FE4" w:rsidP="00D345CE">
      <w:pPr>
        <w:pStyle w:val="Heading1"/>
        <w:spacing w:before="0"/>
        <w:ind w:firstLine="360"/>
        <w:rPr>
          <w:sz w:val="24"/>
          <w:u w:val="single"/>
        </w:rPr>
      </w:pPr>
    </w:p>
    <w:p w14:paraId="044B0AEE" w14:textId="0A4469D9" w:rsidR="00D345CE" w:rsidRDefault="00046FD0" w:rsidP="00D345CE">
      <w:pPr>
        <w:pStyle w:val="Heading1"/>
        <w:spacing w:before="0"/>
        <w:ind w:firstLine="360"/>
        <w:rPr>
          <w:sz w:val="24"/>
          <w:u w:val="single"/>
        </w:rPr>
      </w:pPr>
      <w:r>
        <w:rPr>
          <w:sz w:val="24"/>
          <w:u w:val="single"/>
        </w:rPr>
        <w:t>San Diego Gas &amp; Electric</w:t>
      </w:r>
      <w:r w:rsidRPr="00046FD0">
        <w:rPr>
          <w:sz w:val="24"/>
          <w:u w:val="single"/>
        </w:rPr>
        <w:t xml:space="preserve"> </w:t>
      </w:r>
      <w:r w:rsidR="00D641E9">
        <w:rPr>
          <w:sz w:val="24"/>
          <w:u w:val="single"/>
        </w:rPr>
        <w:t>Results (</w:t>
      </w:r>
      <w:r>
        <w:rPr>
          <w:sz w:val="24"/>
          <w:u w:val="single"/>
        </w:rPr>
        <w:t>12kV)</w:t>
      </w:r>
      <w:bookmarkStart w:id="0" w:name="_GoBack"/>
      <w:bookmarkEnd w:id="0"/>
    </w:p>
    <w:p w14:paraId="343206D4" w14:textId="44326C22" w:rsidR="00D345CE" w:rsidRDefault="00D345CE" w:rsidP="00D345CE"/>
    <w:p w14:paraId="6242E8FE" w14:textId="77777777" w:rsidR="00D43FE4" w:rsidRPr="00D43FE4" w:rsidRDefault="00D43FE4" w:rsidP="00D43FE4">
      <w:pPr>
        <w:jc w:val="center"/>
        <w:rPr>
          <w:b/>
          <w:sz w:val="24"/>
        </w:rPr>
      </w:pPr>
      <w:r w:rsidRPr="00D43FE4">
        <w:rPr>
          <w:b/>
          <w:sz w:val="24"/>
        </w:rPr>
        <w:t xml:space="preserve">% Line Loss Reduction Relative to 1 MW Generator Nameplate  </w:t>
      </w:r>
    </w:p>
    <w:p w14:paraId="25946CC7" w14:textId="732F7F50" w:rsidR="00D11B6C" w:rsidRDefault="00046FD0" w:rsidP="00D11B6C">
      <w:pPr>
        <w:jc w:val="center"/>
      </w:pPr>
      <w:r w:rsidRPr="00046FD0">
        <w:rPr>
          <w:noProof/>
        </w:rPr>
        <w:lastRenderedPageBreak/>
        <w:drawing>
          <wp:inline distT="0" distB="0" distL="0" distR="0" wp14:anchorId="4812B00C" wp14:editId="3DF4C3D0">
            <wp:extent cx="5181545" cy="3260035"/>
            <wp:effectExtent l="0" t="0" r="635" b="17145"/>
            <wp:docPr id="2" name="Chart 2">
              <a:extLst xmlns:a="http://schemas.openxmlformats.org/drawingml/2006/main">
                <a:ext uri="{FF2B5EF4-FFF2-40B4-BE49-F238E27FC236}">
                  <a16:creationId xmlns:pic="http://schemas.openxmlformats.org/drawingml/2006/picture" xmlns:a14="http://schemas.microsoft.com/office/drawing/2010/main" xmlns:c="http://schemas.openxmlformats.org/drawingml/2006/chart"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0D3AD55-EBE4-43D5-8ADD-CA0577AC76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sidR="00D11B6C">
        <w:br w:type="page"/>
      </w:r>
    </w:p>
    <w:p w14:paraId="2B1005C6" w14:textId="77777777" w:rsidR="00744A32" w:rsidRPr="00744A32" w:rsidRDefault="00744A32" w:rsidP="00744A32">
      <w:pPr>
        <w:jc w:val="center"/>
      </w:pPr>
    </w:p>
    <w:p w14:paraId="3E377574" w14:textId="71A93388" w:rsidR="00D43FE4" w:rsidRPr="00D43FE4" w:rsidRDefault="00D43FE4" w:rsidP="00D43FE4">
      <w:pPr>
        <w:jc w:val="center"/>
        <w:rPr>
          <w:b/>
          <w:sz w:val="24"/>
        </w:rPr>
      </w:pPr>
      <w:r w:rsidRPr="00D43FE4">
        <w:rPr>
          <w:b/>
          <w:sz w:val="24"/>
        </w:rPr>
        <w:t xml:space="preserve">Individual Circuit kW Line Loss Reduction with 1 MW Generator at Median Load </w:t>
      </w:r>
    </w:p>
    <w:p w14:paraId="5CCF6B34" w14:textId="7A3818F9" w:rsidR="000D25AB" w:rsidRDefault="00D345CE" w:rsidP="00D345CE">
      <w:pPr>
        <w:jc w:val="center"/>
      </w:pPr>
      <w:r w:rsidRPr="00D345CE">
        <w:rPr>
          <w:noProof/>
        </w:rPr>
        <w:drawing>
          <wp:inline distT="0" distB="0" distL="0" distR="0" wp14:anchorId="5FE8F4AD" wp14:editId="03B403F9">
            <wp:extent cx="5029200" cy="3631721"/>
            <wp:effectExtent l="0" t="0" r="0" b="6985"/>
            <wp:docPr id="4" name="Chart 4">
              <a:extLst xmlns:a="http://schemas.openxmlformats.org/drawingml/2006/main">
                <a:ext uri="{FF2B5EF4-FFF2-40B4-BE49-F238E27FC236}">
                  <a16:creationId xmlns:pic="http://schemas.openxmlformats.org/drawingml/2006/picture" xmlns:a14="http://schemas.microsoft.com/office/drawing/2010/main" xmlns:c="http://schemas.openxmlformats.org/drawingml/2006/chart"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9202E80-F8E8-4610-A384-C333F9062F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5230211" w14:textId="6705B591" w:rsidR="00D43FE4" w:rsidRPr="00D43FE4" w:rsidRDefault="00D43FE4" w:rsidP="00D43FE4">
      <w:pPr>
        <w:jc w:val="center"/>
        <w:rPr>
          <w:b/>
          <w:sz w:val="24"/>
        </w:rPr>
      </w:pPr>
      <w:r w:rsidRPr="00D43FE4">
        <w:rPr>
          <w:b/>
          <w:sz w:val="24"/>
        </w:rPr>
        <w:t xml:space="preserve">Individual Circuit kW Line Loss Reduction with 1 MW Generator at Peak Load </w:t>
      </w:r>
    </w:p>
    <w:p w14:paraId="0E735550" w14:textId="749B8B8F" w:rsidR="00D01CD0" w:rsidRDefault="00D345CE" w:rsidP="00D01CD0">
      <w:pPr>
        <w:jc w:val="center"/>
      </w:pPr>
      <w:r w:rsidRPr="00D345CE">
        <w:rPr>
          <w:noProof/>
          <w:sz w:val="24"/>
        </w:rPr>
        <w:drawing>
          <wp:inline distT="0" distB="0" distL="0" distR="0" wp14:anchorId="521FD9BC" wp14:editId="3E8E28B9">
            <wp:extent cx="5020310" cy="3070776"/>
            <wp:effectExtent l="0" t="0" r="8890" b="15875"/>
            <wp:docPr id="5" name="Chart 5">
              <a:extLst xmlns:a="http://schemas.openxmlformats.org/drawingml/2006/main">
                <a:ext uri="{FF2B5EF4-FFF2-40B4-BE49-F238E27FC236}">
                  <a16:creationId xmlns:pic="http://schemas.openxmlformats.org/drawingml/2006/picture" xmlns:a14="http://schemas.microsoft.com/office/drawing/2010/main" xmlns:c="http://schemas.openxmlformats.org/drawingml/2006/chart"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FC7B0AB9-EDB0-42AB-88FE-5B32401B57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E45E2D1" w14:textId="2A1B14C3" w:rsidR="00744A32" w:rsidRDefault="00744A32">
      <w:r>
        <w:br w:type="page"/>
      </w:r>
    </w:p>
    <w:p w14:paraId="6BF85674" w14:textId="77777777" w:rsidR="00744A32" w:rsidRPr="00D01CD0" w:rsidRDefault="00744A32" w:rsidP="00D01CD0">
      <w:pPr>
        <w:jc w:val="center"/>
      </w:pPr>
    </w:p>
    <w:p w14:paraId="536DF076" w14:textId="0386B900" w:rsidR="00D01CD0" w:rsidRDefault="00D345CE" w:rsidP="00D01CD0">
      <w:pPr>
        <w:pStyle w:val="Heading1"/>
        <w:spacing w:before="0"/>
        <w:ind w:firstLine="360"/>
        <w:rPr>
          <w:sz w:val="24"/>
          <w:u w:val="single"/>
        </w:rPr>
      </w:pPr>
      <w:r>
        <w:rPr>
          <w:sz w:val="24"/>
          <w:u w:val="single"/>
        </w:rPr>
        <w:t>Pacific Gas &amp; Electric</w:t>
      </w:r>
      <w:r w:rsidRPr="00046FD0">
        <w:rPr>
          <w:sz w:val="24"/>
          <w:u w:val="single"/>
        </w:rPr>
        <w:t xml:space="preserve"> </w:t>
      </w:r>
    </w:p>
    <w:p w14:paraId="3BF60550" w14:textId="1C8208B1" w:rsidR="00D01CD0" w:rsidRDefault="00D43FE4" w:rsidP="00D01CD0">
      <w:pPr>
        <w:jc w:val="center"/>
        <w:rPr>
          <w:b/>
          <w:sz w:val="24"/>
        </w:rPr>
      </w:pPr>
      <w:r>
        <w:rPr>
          <w:b/>
          <w:sz w:val="24"/>
        </w:rPr>
        <w:t>Loss Reductions</w:t>
      </w:r>
      <w:r w:rsidR="00C935E2">
        <w:rPr>
          <w:b/>
          <w:sz w:val="24"/>
        </w:rPr>
        <w:t xml:space="preserve"> as % of nameplate</w:t>
      </w:r>
      <w:r>
        <w:rPr>
          <w:b/>
          <w:sz w:val="24"/>
        </w:rPr>
        <w:t xml:space="preserve"> for 1 MW Generator on </w:t>
      </w:r>
      <w:r w:rsidR="00C935E2">
        <w:rPr>
          <w:b/>
          <w:sz w:val="24"/>
        </w:rPr>
        <w:t xml:space="preserve">Representative </w:t>
      </w:r>
      <w:r w:rsidR="009756E0">
        <w:rPr>
          <w:b/>
          <w:sz w:val="24"/>
        </w:rPr>
        <w:t>Urban/</w:t>
      </w:r>
      <w:r w:rsidR="00D01CD0" w:rsidRPr="00D01CD0">
        <w:rPr>
          <w:b/>
          <w:sz w:val="24"/>
        </w:rPr>
        <w:t>Suburban Substation</w:t>
      </w:r>
      <w:r w:rsidR="00D01CD0">
        <w:rPr>
          <w:b/>
          <w:sz w:val="24"/>
        </w:rPr>
        <w:t xml:space="preserve"> Circuit</w:t>
      </w:r>
      <w:r w:rsidR="00D01CD0" w:rsidRPr="00396367">
        <w:rPr>
          <w:noProof/>
        </w:rPr>
        <w:drawing>
          <wp:inline distT="0" distB="0" distL="0" distR="0" wp14:anchorId="51A36D6D" wp14:editId="15153886">
            <wp:extent cx="5280367" cy="3238500"/>
            <wp:effectExtent l="0" t="0" r="0" b="0"/>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91534" cy="3306680"/>
                    </a:xfrm>
                    <a:prstGeom prst="rect">
                      <a:avLst/>
                    </a:prstGeom>
                    <a:noFill/>
                    <a:ln>
                      <a:noFill/>
                    </a:ln>
                    <a:effectLst/>
                    <a:extLst/>
                  </pic:spPr>
                </pic:pic>
              </a:graphicData>
            </a:graphic>
          </wp:inline>
        </w:drawing>
      </w:r>
    </w:p>
    <w:p w14:paraId="500AB95F" w14:textId="7767B385" w:rsidR="004E4ACB" w:rsidRDefault="00D43FE4" w:rsidP="00D01CD0">
      <w:pPr>
        <w:jc w:val="center"/>
        <w:rPr>
          <w:b/>
          <w:sz w:val="24"/>
        </w:rPr>
      </w:pPr>
      <w:r>
        <w:rPr>
          <w:b/>
          <w:sz w:val="24"/>
        </w:rPr>
        <w:t xml:space="preserve">Loss Reductions </w:t>
      </w:r>
      <w:r w:rsidR="00C935E2">
        <w:rPr>
          <w:b/>
          <w:sz w:val="24"/>
        </w:rPr>
        <w:t xml:space="preserve">as % of nameplate </w:t>
      </w:r>
      <w:r>
        <w:rPr>
          <w:b/>
          <w:sz w:val="24"/>
        </w:rPr>
        <w:t xml:space="preserve">for 1 MW Generator on </w:t>
      </w:r>
      <w:r w:rsidR="00C935E2">
        <w:rPr>
          <w:b/>
          <w:sz w:val="24"/>
        </w:rPr>
        <w:t xml:space="preserve">Representative </w:t>
      </w:r>
      <w:r w:rsidR="00D01CD0">
        <w:rPr>
          <w:b/>
          <w:sz w:val="24"/>
        </w:rPr>
        <w:t>Rural</w:t>
      </w:r>
      <w:r w:rsidR="00D01CD0" w:rsidRPr="00D01CD0">
        <w:rPr>
          <w:b/>
          <w:sz w:val="24"/>
        </w:rPr>
        <w:t xml:space="preserve"> Substation</w:t>
      </w:r>
      <w:r w:rsidR="00D01CD0">
        <w:rPr>
          <w:b/>
          <w:sz w:val="24"/>
        </w:rPr>
        <w:t xml:space="preserve"> </w:t>
      </w:r>
      <w:r w:rsidR="004E4ACB">
        <w:rPr>
          <w:b/>
          <w:sz w:val="24"/>
        </w:rPr>
        <w:t xml:space="preserve">Circuit </w:t>
      </w:r>
    </w:p>
    <w:p w14:paraId="1C77A24D" w14:textId="4B6FE389" w:rsidR="00D01CD0" w:rsidRDefault="00D01CD0" w:rsidP="004E4ACB">
      <w:pPr>
        <w:jc w:val="center"/>
        <w:rPr>
          <w:b/>
          <w:sz w:val="24"/>
        </w:rPr>
      </w:pPr>
      <w:r w:rsidRPr="00D01CD0">
        <w:rPr>
          <w:noProof/>
        </w:rPr>
        <w:drawing>
          <wp:inline distT="0" distB="0" distL="0" distR="0" wp14:anchorId="56BA80B4" wp14:editId="209BB03B">
            <wp:extent cx="5312520" cy="3390900"/>
            <wp:effectExtent l="0" t="0" r="2540" b="0"/>
            <wp:docPr id="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374485" cy="3430451"/>
                    </a:xfrm>
                    <a:prstGeom prst="rect">
                      <a:avLst/>
                    </a:prstGeom>
                    <a:noFill/>
                    <a:ln>
                      <a:noFill/>
                    </a:ln>
                    <a:effectLst/>
                    <a:extLst/>
                  </pic:spPr>
                </pic:pic>
              </a:graphicData>
            </a:graphic>
          </wp:inline>
        </w:drawing>
      </w:r>
    </w:p>
    <w:p w14:paraId="58BB4434" w14:textId="36B1F357" w:rsidR="00D01CD0" w:rsidRPr="00D01CD0" w:rsidRDefault="00D43FE4" w:rsidP="00D01CD0">
      <w:pPr>
        <w:jc w:val="center"/>
      </w:pPr>
      <w:r>
        <w:rPr>
          <w:b/>
          <w:sz w:val="24"/>
        </w:rPr>
        <w:lastRenderedPageBreak/>
        <w:t xml:space="preserve">Loss Reductions </w:t>
      </w:r>
      <w:r w:rsidR="00C935E2">
        <w:rPr>
          <w:b/>
          <w:sz w:val="24"/>
        </w:rPr>
        <w:t xml:space="preserve">as % of nameplate </w:t>
      </w:r>
      <w:r>
        <w:rPr>
          <w:b/>
          <w:sz w:val="24"/>
        </w:rPr>
        <w:t xml:space="preserve">for 1 MW Generator on </w:t>
      </w:r>
      <w:r w:rsidR="00C935E2">
        <w:rPr>
          <w:b/>
          <w:sz w:val="24"/>
        </w:rPr>
        <w:t xml:space="preserve">Representative </w:t>
      </w:r>
      <w:r w:rsidR="009756E0">
        <w:rPr>
          <w:b/>
          <w:sz w:val="24"/>
        </w:rPr>
        <w:t>L</w:t>
      </w:r>
      <w:r w:rsidR="00C935E2">
        <w:rPr>
          <w:b/>
          <w:sz w:val="24"/>
        </w:rPr>
        <w:t>ightly-</w:t>
      </w:r>
      <w:r w:rsidR="009756E0">
        <w:rPr>
          <w:b/>
          <w:sz w:val="24"/>
        </w:rPr>
        <w:t>L</w:t>
      </w:r>
      <w:r w:rsidR="00C935E2">
        <w:rPr>
          <w:b/>
          <w:sz w:val="24"/>
        </w:rPr>
        <w:t>oaded</w:t>
      </w:r>
      <w:r w:rsidR="00C935E2" w:rsidRPr="00D01CD0">
        <w:rPr>
          <w:b/>
          <w:sz w:val="24"/>
        </w:rPr>
        <w:t xml:space="preserve"> </w:t>
      </w:r>
      <w:r w:rsidR="00D01CD0">
        <w:rPr>
          <w:b/>
          <w:sz w:val="24"/>
        </w:rPr>
        <w:t>Circuit</w:t>
      </w:r>
    </w:p>
    <w:p w14:paraId="26F61EC3" w14:textId="3B4777B0" w:rsidR="00046FD0" w:rsidRPr="00D01CD0" w:rsidRDefault="00396367" w:rsidP="00D01CD0">
      <w:pPr>
        <w:pStyle w:val="Heading1"/>
        <w:spacing w:before="0"/>
        <w:ind w:firstLine="360"/>
        <w:jc w:val="center"/>
        <w:rPr>
          <w:sz w:val="24"/>
          <w:u w:val="single"/>
        </w:rPr>
      </w:pPr>
      <w:r w:rsidRPr="00396367">
        <w:rPr>
          <w:noProof/>
        </w:rPr>
        <w:drawing>
          <wp:inline distT="0" distB="0" distL="0" distR="0" wp14:anchorId="2756CD7F" wp14:editId="07A91370">
            <wp:extent cx="5385147" cy="3615398"/>
            <wp:effectExtent l="0" t="0" r="6350" b="4445"/>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26102" cy="3642894"/>
                    </a:xfrm>
                    <a:prstGeom prst="rect">
                      <a:avLst/>
                    </a:prstGeom>
                    <a:noFill/>
                    <a:ln>
                      <a:noFill/>
                    </a:ln>
                    <a:effectLst/>
                    <a:extLst/>
                  </pic:spPr>
                </pic:pic>
              </a:graphicData>
            </a:graphic>
          </wp:inline>
        </w:drawing>
      </w:r>
    </w:p>
    <w:p w14:paraId="61608492" w14:textId="77777777" w:rsidR="00D43FE4" w:rsidRDefault="00D43FE4" w:rsidP="00D43FE4">
      <w:pPr>
        <w:spacing w:after="0"/>
      </w:pPr>
    </w:p>
    <w:p w14:paraId="4E123733" w14:textId="60EAA7B8" w:rsidR="00D11B6C" w:rsidRDefault="00D11B6C" w:rsidP="00D11B6C">
      <w:pPr>
        <w:pStyle w:val="Heading1"/>
        <w:spacing w:before="0"/>
        <w:ind w:firstLine="360"/>
        <w:rPr>
          <w:sz w:val="24"/>
          <w:u w:val="single"/>
        </w:rPr>
      </w:pPr>
      <w:r>
        <w:rPr>
          <w:sz w:val="24"/>
          <w:u w:val="single"/>
        </w:rPr>
        <w:t>Secondary System Losses Study</w:t>
      </w:r>
    </w:p>
    <w:p w14:paraId="22FA40FC" w14:textId="77777777" w:rsidR="00D11B6C" w:rsidRDefault="00D11B6C" w:rsidP="00D11B6C">
      <w:pPr>
        <w:jc w:val="center"/>
        <w:rPr>
          <w:b/>
        </w:rPr>
      </w:pPr>
    </w:p>
    <w:p w14:paraId="25311849" w14:textId="77E4E38B" w:rsidR="00D11B6C" w:rsidRPr="00D11B6C" w:rsidRDefault="00D11B6C" w:rsidP="00D11B6C">
      <w:pPr>
        <w:jc w:val="center"/>
        <w:rPr>
          <w:b/>
        </w:rPr>
      </w:pPr>
      <w:r>
        <w:rPr>
          <w:b/>
        </w:rPr>
        <w:t>Model of Secondary Network with 8 Residences with Generators</w:t>
      </w:r>
    </w:p>
    <w:p w14:paraId="2DC3CD8C" w14:textId="1FD6F729" w:rsidR="00D11B6C" w:rsidRDefault="00D11B6C" w:rsidP="00D11B6C">
      <w:pPr>
        <w:jc w:val="center"/>
      </w:pPr>
      <w:r w:rsidRPr="00D11B6C">
        <w:rPr>
          <w:noProof/>
        </w:rPr>
        <w:drawing>
          <wp:inline distT="0" distB="0" distL="0" distR="0" wp14:anchorId="14D4B098" wp14:editId="7D34B6F1">
            <wp:extent cx="5160397" cy="2806793"/>
            <wp:effectExtent l="0" t="0" r="2540" b="0"/>
            <wp:docPr id="7" name="Picture 6">
              <a:extLst xmlns:a="http://schemas.openxmlformats.org/drawingml/2006/main">
                <a:ext uri="{FF2B5EF4-FFF2-40B4-BE49-F238E27FC236}">
                  <a16:creationId xmlns:pic="http://schemas.openxmlformats.org/drawingml/2006/picture" xmlns:a14="http://schemas.microsoft.com/office/drawing/2010/main" xmlns:c="http://schemas.openxmlformats.org/drawingml/2006/chart"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0D5976D-8EBB-4661-83E8-CF7BE33E24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4="http://schemas.microsoft.com/office/drawing/2010/main" xmlns:c="http://schemas.openxmlformats.org/drawingml/2006/chart"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0D5976D-8EBB-4661-83E8-CF7BE33E2471}"/>
                        </a:ext>
                      </a:extLst>
                    </pic:cNvPr>
                    <pic:cNvPicPr>
                      <a:picLocks noChangeAspect="1"/>
                    </pic:cNvPicPr>
                  </pic:nvPicPr>
                  <pic:blipFill rotWithShape="1">
                    <a:blip r:embed="rId16"/>
                    <a:srcRect t="4031" r="50597" b="14776"/>
                    <a:stretch/>
                  </pic:blipFill>
                  <pic:spPr>
                    <a:xfrm>
                      <a:off x="0" y="0"/>
                      <a:ext cx="5163558" cy="2808512"/>
                    </a:xfrm>
                    <a:prstGeom prst="rect">
                      <a:avLst/>
                    </a:prstGeom>
                  </pic:spPr>
                </pic:pic>
              </a:graphicData>
            </a:graphic>
          </wp:inline>
        </w:drawing>
      </w:r>
    </w:p>
    <w:p w14:paraId="6A6C2FCD" w14:textId="6126CE25" w:rsidR="00D11B6C" w:rsidRPr="00D11B6C" w:rsidRDefault="00D11B6C" w:rsidP="00D11B6C">
      <w:r w:rsidRPr="00D11B6C">
        <w:rPr>
          <w:noProof/>
        </w:rPr>
        <w:lastRenderedPageBreak/>
        <mc:AlternateContent>
          <mc:Choice Requires="wps">
            <w:drawing>
              <wp:anchor distT="0" distB="0" distL="114300" distR="114300" simplePos="0" relativeHeight="251663360" behindDoc="0" locked="0" layoutInCell="1" allowOverlap="1" wp14:anchorId="28BF476C" wp14:editId="180340BA">
                <wp:simplePos x="0" y="0"/>
                <wp:positionH relativeFrom="column">
                  <wp:posOffset>4557008</wp:posOffset>
                </wp:positionH>
                <wp:positionV relativeFrom="paragraph">
                  <wp:posOffset>3149848</wp:posOffset>
                </wp:positionV>
                <wp:extent cx="914400" cy="485030"/>
                <wp:effectExtent l="0" t="0" r="0" b="0"/>
                <wp:wrapNone/>
                <wp:docPr id="14" name="TextBox 7">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914400" cy="485030"/>
                        </a:xfrm>
                        <a:prstGeom prst="rect">
                          <a:avLst/>
                        </a:prstGeom>
                        <a:noFill/>
                      </wps:spPr>
                      <wps:txbx>
                        <w:txbxContent>
                          <w:p w14:paraId="32E8BAD7" w14:textId="3B9DEDB2" w:rsidR="00D11B6C" w:rsidRPr="00D11B6C" w:rsidRDefault="00D11B6C" w:rsidP="00D11B6C">
                            <w:pPr>
                              <w:pStyle w:val="NormalWeb"/>
                              <w:spacing w:before="0" w:beforeAutospacing="0" w:after="0" w:afterAutospacing="0"/>
                              <w:jc w:val="center"/>
                              <w:rPr>
                                <w:sz w:val="18"/>
                              </w:rPr>
                            </w:pPr>
                            <w:r>
                              <w:rPr>
                                <w:rFonts w:asciiTheme="minorHAnsi" w:hAnsi="Calibri" w:cstheme="minorBidi"/>
                                <w:color w:val="000000" w:themeColor="text1"/>
                                <w:kern w:val="24"/>
                                <w:szCs w:val="36"/>
                              </w:rPr>
                              <w:t>Load</w:t>
                            </w:r>
                          </w:p>
                          <w:p w14:paraId="2554A106" w14:textId="77777777" w:rsidR="00D11B6C" w:rsidRPr="00D11B6C" w:rsidRDefault="00D11B6C" w:rsidP="00D11B6C">
                            <w:pPr>
                              <w:pStyle w:val="NormalWeb"/>
                              <w:spacing w:before="0" w:beforeAutospacing="0" w:after="0" w:afterAutospacing="0"/>
                              <w:jc w:val="center"/>
                              <w:rPr>
                                <w:sz w:val="18"/>
                              </w:rPr>
                            </w:pPr>
                            <w:r w:rsidRPr="00D11B6C">
                              <w:rPr>
                                <w:rFonts w:asciiTheme="minorHAnsi" w:hAnsi="Calibri" w:cstheme="minorBidi"/>
                                <w:color w:val="000000" w:themeColor="text1"/>
                                <w:kern w:val="24"/>
                                <w:szCs w:val="36"/>
                              </w:rPr>
                              <w:t>(kW)</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8BF476C" id="_x0000_t202" coordsize="21600,21600" o:spt="202" path="m,l,21600r21600,l21600,xe">
                <v:stroke joinstyle="miter"/>
                <v:path gradientshapeok="t" o:connecttype="rect"/>
              </v:shapetype>
              <v:shape id="TextBox 7" o:spid="_x0000_s1026" type="#_x0000_t202" style="position:absolute;margin-left:358.8pt;margin-top:248pt;width:1in;height:38.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" filled="f" stroked="f">
                <v:textbox>
                  <w:txbxContent>
                    <w:p w14:paraId="32E8BAD7" w14:textId="3B9DEDB2" w:rsidR="00D11B6C" w:rsidRPr="00D11B6C" w:rsidRDefault="00D11B6C" w:rsidP="00D11B6C">
                      <w:pPr>
                        <w:pStyle w:val="NormalWeb"/>
                        <w:spacing w:before="0" w:beforeAutospacing="0" w:after="0" w:afterAutospacing="0"/>
                        <w:jc w:val="center"/>
                        <w:rPr>
                          <w:sz w:val="18"/>
                        </w:rPr>
                      </w:pPr>
                      <w:r>
                        <w:rPr>
                          <w:rFonts w:asciiTheme="minorHAnsi" w:hAnsi="Calibri" w:cstheme="minorBidi"/>
                          <w:color w:val="000000" w:themeColor="text1"/>
                          <w:kern w:val="24"/>
                          <w:szCs w:val="36"/>
                        </w:rPr>
                        <w:t>Load</w:t>
                      </w:r>
                    </w:p>
                    <w:p w14:paraId="2554A106" w14:textId="77777777" w:rsidR="00D11B6C" w:rsidRPr="00D11B6C" w:rsidRDefault="00D11B6C" w:rsidP="00D11B6C">
                      <w:pPr>
                        <w:pStyle w:val="NormalWeb"/>
                        <w:spacing w:before="0" w:beforeAutospacing="0" w:after="0" w:afterAutospacing="0"/>
                        <w:jc w:val="center"/>
                        <w:rPr>
                          <w:sz w:val="18"/>
                        </w:rPr>
                      </w:pPr>
                      <w:r w:rsidRPr="00D11B6C">
                        <w:rPr>
                          <w:rFonts w:asciiTheme="minorHAnsi" w:hAnsi="Calibri" w:cstheme="minorBidi"/>
                          <w:color w:val="000000" w:themeColor="text1"/>
                          <w:kern w:val="24"/>
                          <w:szCs w:val="36"/>
                        </w:rPr>
                        <w:t>(kW)</w:t>
                      </w:r>
                    </w:p>
                  </w:txbxContent>
                </v:textbox>
              </v:shape>
            </w:pict>
          </mc:Fallback>
        </mc:AlternateContent>
      </w:r>
      <w:r w:rsidRPr="00D11B6C">
        <w:rPr>
          <w:noProof/>
        </w:rPr>
        <mc:AlternateContent>
          <mc:Choice Requires="wps">
            <w:drawing>
              <wp:anchor distT="0" distB="0" distL="114300" distR="114300" simplePos="0" relativeHeight="251661312" behindDoc="0" locked="0" layoutInCell="1" allowOverlap="1" wp14:anchorId="50BD8329" wp14:editId="31E7E611">
                <wp:simplePos x="0" y="0"/>
                <wp:positionH relativeFrom="column">
                  <wp:posOffset>1463040</wp:posOffset>
                </wp:positionH>
                <wp:positionV relativeFrom="paragraph">
                  <wp:posOffset>3291840</wp:posOffset>
                </wp:positionV>
                <wp:extent cx="914400" cy="485030"/>
                <wp:effectExtent l="0" t="0" r="0" b="0"/>
                <wp:wrapNone/>
                <wp:docPr id="13" name="TextBox 7">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914400" cy="485030"/>
                        </a:xfrm>
                        <a:prstGeom prst="rect">
                          <a:avLst/>
                        </a:prstGeom>
                        <a:noFill/>
                      </wps:spPr>
                      <wps:txbx>
                        <w:txbxContent>
                          <w:p w14:paraId="6FE7DEEA" w14:textId="7267E4A7" w:rsidR="00D11B6C" w:rsidRPr="00D11B6C" w:rsidRDefault="00D11B6C" w:rsidP="00D11B6C">
                            <w:pPr>
                              <w:pStyle w:val="NormalWeb"/>
                              <w:spacing w:before="0" w:beforeAutospacing="0" w:after="0" w:afterAutospacing="0"/>
                              <w:jc w:val="center"/>
                              <w:rPr>
                                <w:sz w:val="18"/>
                              </w:rPr>
                            </w:pPr>
                            <w:r>
                              <w:rPr>
                                <w:rFonts w:asciiTheme="minorHAnsi" w:hAnsi="Calibri" w:cstheme="minorBidi"/>
                                <w:color w:val="000000" w:themeColor="text1"/>
                                <w:kern w:val="24"/>
                                <w:szCs w:val="36"/>
                              </w:rPr>
                              <w:t>Generation</w:t>
                            </w:r>
                          </w:p>
                          <w:p w14:paraId="2D5F9F76" w14:textId="77777777" w:rsidR="00D11B6C" w:rsidRPr="00D11B6C" w:rsidRDefault="00D11B6C" w:rsidP="00D11B6C">
                            <w:pPr>
                              <w:pStyle w:val="NormalWeb"/>
                              <w:spacing w:before="0" w:beforeAutospacing="0" w:after="0" w:afterAutospacing="0"/>
                              <w:jc w:val="center"/>
                              <w:rPr>
                                <w:sz w:val="18"/>
                              </w:rPr>
                            </w:pPr>
                            <w:r w:rsidRPr="00D11B6C">
                              <w:rPr>
                                <w:rFonts w:asciiTheme="minorHAnsi" w:hAnsi="Calibri" w:cstheme="minorBidi"/>
                                <w:color w:val="000000" w:themeColor="text1"/>
                                <w:kern w:val="24"/>
                                <w:szCs w:val="36"/>
                              </w:rPr>
                              <w:t>(kW)</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50BD8329" id="_x0000_s1027" type="#_x0000_t202" style="position:absolute;margin-left:115.2pt;margin-top:259.2pt;width:1in;height:38.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" filled="f" stroked="f">
                <v:textbox>
                  <w:txbxContent>
                    <w:p w14:paraId="6FE7DEEA" w14:textId="7267E4A7" w:rsidR="00D11B6C" w:rsidRPr="00D11B6C" w:rsidRDefault="00D11B6C" w:rsidP="00D11B6C">
                      <w:pPr>
                        <w:pStyle w:val="NormalWeb"/>
                        <w:spacing w:before="0" w:beforeAutospacing="0" w:after="0" w:afterAutospacing="0"/>
                        <w:jc w:val="center"/>
                        <w:rPr>
                          <w:sz w:val="18"/>
                        </w:rPr>
                      </w:pPr>
                      <w:r>
                        <w:rPr>
                          <w:rFonts w:asciiTheme="minorHAnsi" w:hAnsi="Calibri" w:cstheme="minorBidi"/>
                          <w:color w:val="000000" w:themeColor="text1"/>
                          <w:kern w:val="24"/>
                          <w:szCs w:val="36"/>
                        </w:rPr>
                        <w:t>Generation</w:t>
                      </w:r>
                    </w:p>
                    <w:p w14:paraId="2D5F9F76" w14:textId="77777777" w:rsidR="00D11B6C" w:rsidRPr="00D11B6C" w:rsidRDefault="00D11B6C" w:rsidP="00D11B6C">
                      <w:pPr>
                        <w:pStyle w:val="NormalWeb"/>
                        <w:spacing w:before="0" w:beforeAutospacing="0" w:after="0" w:afterAutospacing="0"/>
                        <w:jc w:val="center"/>
                        <w:rPr>
                          <w:sz w:val="18"/>
                        </w:rPr>
                      </w:pPr>
                      <w:r w:rsidRPr="00D11B6C">
                        <w:rPr>
                          <w:rFonts w:asciiTheme="minorHAnsi" w:hAnsi="Calibri" w:cstheme="minorBidi"/>
                          <w:color w:val="000000" w:themeColor="text1"/>
                          <w:kern w:val="24"/>
                          <w:szCs w:val="36"/>
                        </w:rPr>
                        <w:t>(kW)</w:t>
                      </w:r>
                    </w:p>
                  </w:txbxContent>
                </v:textbox>
              </v:shape>
            </w:pict>
          </mc:Fallback>
        </mc:AlternateContent>
      </w:r>
      <w:r w:rsidRPr="00D11B6C">
        <w:rPr>
          <w:noProof/>
        </w:rPr>
        <mc:AlternateContent>
          <mc:Choice Requires="wps">
            <w:drawing>
              <wp:anchor distT="0" distB="0" distL="114300" distR="114300" simplePos="0" relativeHeight="251659264" behindDoc="0" locked="0" layoutInCell="1" allowOverlap="1" wp14:anchorId="6F5D2E5E" wp14:editId="7E561B6C">
                <wp:simplePos x="0" y="0"/>
                <wp:positionH relativeFrom="column">
                  <wp:posOffset>-55659</wp:posOffset>
                </wp:positionH>
                <wp:positionV relativeFrom="paragraph">
                  <wp:posOffset>1757238</wp:posOffset>
                </wp:positionV>
                <wp:extent cx="644056" cy="485030"/>
                <wp:effectExtent l="0" t="0" r="0" b="0"/>
                <wp:wrapNone/>
                <wp:docPr id="12" name="TextBox 7">
                  <a:extLst xmlns:a="http://schemas.openxmlformats.org/drawingml/2006/main"/>
                </wp:docPr>
                <wp:cNvGraphicFramePr/>
                <a:graphic xmlns:a="http://schemas.openxmlformats.org/drawingml/2006/main">
                  <a:graphicData uri="http://schemas.microsoft.com/office/word/2010/wordprocessingShape">
                    <wps:wsp>
                      <wps:cNvSpPr txBox="1"/>
                      <wps:spPr>
                        <a:xfrm>
                          <a:off x="0" y="0"/>
                          <a:ext cx="644056" cy="485030"/>
                        </a:xfrm>
                        <a:prstGeom prst="rect">
                          <a:avLst/>
                        </a:prstGeom>
                        <a:noFill/>
                      </wps:spPr>
                      <wps:txbx>
                        <w:txbxContent>
                          <w:p w14:paraId="08D7BAB6" w14:textId="77777777" w:rsidR="00D11B6C" w:rsidRPr="00D11B6C" w:rsidRDefault="00D11B6C" w:rsidP="00D11B6C">
                            <w:pPr>
                              <w:pStyle w:val="NormalWeb"/>
                              <w:spacing w:before="0" w:beforeAutospacing="0" w:after="0" w:afterAutospacing="0"/>
                              <w:jc w:val="center"/>
                              <w:rPr>
                                <w:sz w:val="18"/>
                              </w:rPr>
                            </w:pPr>
                            <w:r w:rsidRPr="00D11B6C">
                              <w:rPr>
                                <w:rFonts w:asciiTheme="minorHAnsi" w:hAnsi="Calibri" w:cstheme="minorBidi"/>
                                <w:color w:val="000000" w:themeColor="text1"/>
                                <w:kern w:val="24"/>
                                <w:szCs w:val="36"/>
                              </w:rPr>
                              <w:t>Losses</w:t>
                            </w:r>
                          </w:p>
                          <w:p w14:paraId="572283F3" w14:textId="77777777" w:rsidR="00D11B6C" w:rsidRPr="00D11B6C" w:rsidRDefault="00D11B6C" w:rsidP="00D11B6C">
                            <w:pPr>
                              <w:pStyle w:val="NormalWeb"/>
                              <w:spacing w:before="0" w:beforeAutospacing="0" w:after="0" w:afterAutospacing="0"/>
                              <w:jc w:val="center"/>
                              <w:rPr>
                                <w:sz w:val="18"/>
                              </w:rPr>
                            </w:pPr>
                            <w:r w:rsidRPr="00D11B6C">
                              <w:rPr>
                                <w:rFonts w:asciiTheme="minorHAnsi" w:hAnsi="Calibri" w:cstheme="minorBidi"/>
                                <w:color w:val="000000" w:themeColor="text1"/>
                                <w:kern w:val="24"/>
                                <w:szCs w:val="36"/>
                              </w:rPr>
                              <w:t>(kW)</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6F5D2E5E" id="_x0000_s1028" type="#_x0000_t202" style="position:absolute;margin-left:-4.4pt;margin-top:138.35pt;width:50.7pt;height:38.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" filled="f" stroked="f">
                <v:textbox>
                  <w:txbxContent>
                    <w:p w14:paraId="08D7BAB6" w14:textId="77777777" w:rsidR="00D11B6C" w:rsidRPr="00D11B6C" w:rsidRDefault="00D11B6C" w:rsidP="00D11B6C">
                      <w:pPr>
                        <w:pStyle w:val="NormalWeb"/>
                        <w:spacing w:before="0" w:beforeAutospacing="0" w:after="0" w:afterAutospacing="0"/>
                        <w:jc w:val="center"/>
                        <w:rPr>
                          <w:sz w:val="18"/>
                        </w:rPr>
                      </w:pPr>
                      <w:r w:rsidRPr="00D11B6C">
                        <w:rPr>
                          <w:rFonts w:asciiTheme="minorHAnsi" w:hAnsi="Calibri" w:cstheme="minorBidi"/>
                          <w:color w:val="000000" w:themeColor="text1"/>
                          <w:kern w:val="24"/>
                          <w:szCs w:val="36"/>
                        </w:rPr>
                        <w:t>Losses</w:t>
                      </w:r>
                    </w:p>
                    <w:p w14:paraId="572283F3" w14:textId="77777777" w:rsidR="00D11B6C" w:rsidRPr="00D11B6C" w:rsidRDefault="00D11B6C" w:rsidP="00D11B6C">
                      <w:pPr>
                        <w:pStyle w:val="NormalWeb"/>
                        <w:spacing w:before="0" w:beforeAutospacing="0" w:after="0" w:afterAutospacing="0"/>
                        <w:jc w:val="center"/>
                        <w:rPr>
                          <w:sz w:val="18"/>
                        </w:rPr>
                      </w:pPr>
                      <w:r w:rsidRPr="00D11B6C">
                        <w:rPr>
                          <w:rFonts w:asciiTheme="minorHAnsi" w:hAnsi="Calibri" w:cstheme="minorBidi"/>
                          <w:color w:val="000000" w:themeColor="text1"/>
                          <w:kern w:val="24"/>
                          <w:szCs w:val="36"/>
                        </w:rPr>
                        <w:t>(kW)</w:t>
                      </w:r>
                    </w:p>
                  </w:txbxContent>
                </v:textbox>
              </v:shape>
            </w:pict>
          </mc:Fallback>
        </mc:AlternateContent>
      </w:r>
      <w:r w:rsidRPr="00D11B6C">
        <w:rPr>
          <w:noProof/>
        </w:rPr>
        <w:drawing>
          <wp:inline distT="0" distB="0" distL="0" distR="0" wp14:anchorId="7F2CB15C" wp14:editId="3E1E1D58">
            <wp:extent cx="5943600" cy="3895090"/>
            <wp:effectExtent l="0" t="0" r="0" b="0"/>
            <wp:docPr id="11" name="Content Placeholder 4">
              <a:extLst xmlns:a="http://schemas.openxmlformats.org/drawingml/2006/main">
                <a:ext uri="{FF2B5EF4-FFF2-40B4-BE49-F238E27FC236}">
                  <a16:creationId xmlns:pic="http://schemas.openxmlformats.org/drawingml/2006/picture" xmlns:a14="http://schemas.microsoft.com/office/drawing/2010/main" xmlns:c="http://schemas.openxmlformats.org/drawingml/2006/chart"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3F490FC-7BD5-4C72-A783-9532A0E4317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4="http://schemas.microsoft.com/office/drawing/2010/main" xmlns:c="http://schemas.openxmlformats.org/drawingml/2006/chart"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3F490FC-7BD5-4C72-A783-9532A0E43171}"/>
                        </a:ext>
                      </a:extLst>
                    </pic:cNvPr>
                    <pic:cNvPicPr>
                      <a:picLocks noGrp="1" noChangeAspect="1"/>
                    </pic:cNvPicPr>
                  </pic:nvPicPr>
                  <pic:blipFill>
                    <a:blip r:embed="rId17"/>
                    <a:stretch>
                      <a:fillRect/>
                    </a:stretch>
                  </pic:blipFill>
                  <pic:spPr>
                    <a:xfrm>
                      <a:off x="0" y="0"/>
                      <a:ext cx="5943600" cy="3895090"/>
                    </a:xfrm>
                    <a:prstGeom prst="rect">
                      <a:avLst/>
                    </a:prstGeom>
                  </pic:spPr>
                </pic:pic>
              </a:graphicData>
            </a:graphic>
          </wp:inline>
        </w:drawing>
      </w:r>
      <w:r w:rsidRPr="00D11B6C">
        <w:rPr>
          <w:noProof/>
        </w:rPr>
        <w:t xml:space="preserve"> </w:t>
      </w:r>
    </w:p>
    <w:p w14:paraId="739241A3" w14:textId="77777777" w:rsidR="00030642" w:rsidRDefault="00030642" w:rsidP="00D11B6C">
      <w:pPr>
        <w:pStyle w:val="Heading1"/>
        <w:spacing w:before="0"/>
        <w:ind w:firstLine="360"/>
        <w:rPr>
          <w:sz w:val="24"/>
          <w:u w:val="single"/>
        </w:rPr>
      </w:pPr>
    </w:p>
    <w:p w14:paraId="00E539CE" w14:textId="3906A70A" w:rsidR="00FE7F27" w:rsidRPr="00030642" w:rsidRDefault="00D11B6C" w:rsidP="00030642">
      <w:pPr>
        <w:pStyle w:val="Heading1"/>
        <w:spacing w:before="0"/>
        <w:ind w:firstLine="360"/>
        <w:rPr>
          <w:sz w:val="24"/>
          <w:u w:val="single"/>
        </w:rPr>
      </w:pPr>
      <w:r>
        <w:rPr>
          <w:sz w:val="24"/>
          <w:u w:val="single"/>
        </w:rPr>
        <w:t>Overall study Findings</w:t>
      </w:r>
    </w:p>
    <w:p w14:paraId="713F4C65" w14:textId="615009D0" w:rsidR="007D19A5" w:rsidRPr="00FE7F27" w:rsidRDefault="00FE7F27" w:rsidP="00FE7F27">
      <w:pPr>
        <w:pStyle w:val="ListParagraph"/>
        <w:numPr>
          <w:ilvl w:val="0"/>
          <w:numId w:val="21"/>
        </w:numPr>
        <w:spacing w:after="0"/>
      </w:pPr>
      <w:r>
        <w:t xml:space="preserve">For 4 kV distribution lines, </w:t>
      </w:r>
      <w:r w:rsidR="0082438E">
        <w:t>the amount of</w:t>
      </w:r>
      <w:r>
        <w:t xml:space="preserve"> line losses </w:t>
      </w:r>
      <w:r w:rsidR="0082438E">
        <w:t xml:space="preserve">was not significantly reduced </w:t>
      </w:r>
      <w:r w:rsidR="00760256" w:rsidRPr="00FE7F27">
        <w:t>when simulating a 1 MW generator</w:t>
      </w:r>
      <w:r w:rsidR="0082438E">
        <w:t xml:space="preserve"> at various locations</w:t>
      </w:r>
      <w:r>
        <w:t>.</w:t>
      </w:r>
    </w:p>
    <w:p w14:paraId="2462AB44" w14:textId="2EB0E7BB" w:rsidR="007D19A5" w:rsidRDefault="00760256" w:rsidP="00FE7F27">
      <w:pPr>
        <w:pStyle w:val="ListParagraph"/>
        <w:numPr>
          <w:ilvl w:val="0"/>
          <w:numId w:val="21"/>
        </w:numPr>
      </w:pPr>
      <w:r w:rsidRPr="00FE7F27">
        <w:t xml:space="preserve">Adding 1 MW generator </w:t>
      </w:r>
      <w:r w:rsidR="00FE7F27">
        <w:t xml:space="preserve">on 4kV circuit typically </w:t>
      </w:r>
      <w:r w:rsidRPr="00FE7F27">
        <w:t>resulted in reverse power flow</w:t>
      </w:r>
      <w:r w:rsidR="00FE7F27">
        <w:t xml:space="preserve"> and increased</w:t>
      </w:r>
      <w:r w:rsidRPr="00FE7F27">
        <w:t xml:space="preserve"> line losse</w:t>
      </w:r>
      <w:r w:rsidR="00FE7F27">
        <w:t>s.</w:t>
      </w:r>
    </w:p>
    <w:p w14:paraId="1C3D63D5" w14:textId="0CD689F9" w:rsidR="00962251" w:rsidRPr="00FE7F27" w:rsidRDefault="00962251" w:rsidP="000F199F">
      <w:pPr>
        <w:pStyle w:val="ListParagraph"/>
        <w:numPr>
          <w:ilvl w:val="0"/>
          <w:numId w:val="21"/>
        </w:numPr>
        <w:spacing w:after="0"/>
      </w:pPr>
      <w:r>
        <w:t>When DER generators cause reverse power flow</w:t>
      </w:r>
      <w:r w:rsidR="000F199F">
        <w:t xml:space="preserve"> </w:t>
      </w:r>
      <w:r>
        <w:t>through the distribution service transformer or the substation transformer, the total distribution</w:t>
      </w:r>
      <w:r w:rsidR="000F199F">
        <w:t xml:space="preserve"> line loss benefit decreases,</w:t>
      </w:r>
      <w:r>
        <w:t xml:space="preserve"> can reach zero</w:t>
      </w:r>
      <w:r w:rsidR="000F199F">
        <w:t>, or negatively impact losses</w:t>
      </w:r>
      <w:r>
        <w:t xml:space="preserve"> if DER generation exceeds</w:t>
      </w:r>
      <w:r w:rsidR="000F199F">
        <w:t xml:space="preserve"> the loading on the circuit it’</w:t>
      </w:r>
      <w:r>
        <w:t xml:space="preserve">s interconnected. </w:t>
      </w:r>
    </w:p>
    <w:p w14:paraId="55BFA491" w14:textId="2C3B15D1" w:rsidR="00D43FE4" w:rsidRDefault="00FE7F27" w:rsidP="00FE7F27">
      <w:pPr>
        <w:pStyle w:val="ListParagraph"/>
        <w:numPr>
          <w:ilvl w:val="0"/>
          <w:numId w:val="21"/>
        </w:numPr>
        <w:spacing w:after="0"/>
      </w:pPr>
      <w:r w:rsidRPr="00D43FE4">
        <w:t>Rural feeders tend to be longer</w:t>
      </w:r>
      <w:r>
        <w:t xml:space="preserve"> and higher impedance</w:t>
      </w:r>
      <w:r w:rsidRPr="00D43FE4">
        <w:t xml:space="preserve">, and have more </w:t>
      </w:r>
      <w:r>
        <w:t xml:space="preserve">locations with high peak losses as well as overall variance in line losses to feed each line section. </w:t>
      </w:r>
    </w:p>
    <w:p w14:paraId="562FD4F4" w14:textId="0E337147" w:rsidR="007D19A5" w:rsidRPr="00D43FE4" w:rsidRDefault="00760256" w:rsidP="00D43FE4">
      <w:pPr>
        <w:pStyle w:val="ListParagraph"/>
        <w:numPr>
          <w:ilvl w:val="0"/>
          <w:numId w:val="21"/>
        </w:numPr>
        <w:spacing w:after="0"/>
      </w:pPr>
      <w:r w:rsidRPr="00D43FE4">
        <w:t>Back</w:t>
      </w:r>
      <w:r w:rsidR="00D11B6C">
        <w:t>-</w:t>
      </w:r>
      <w:r w:rsidRPr="00D43FE4">
        <w:t>feeding does cause losses to increase in certain locations</w:t>
      </w:r>
      <w:r w:rsidR="00D11B6C">
        <w:t xml:space="preserve"> on the primary distribution feeder</w:t>
      </w:r>
      <w:r w:rsidR="00FE7F27">
        <w:t>.</w:t>
      </w:r>
    </w:p>
    <w:p w14:paraId="04096E69" w14:textId="67F73ED3" w:rsidR="007D19A5" w:rsidRDefault="00760256" w:rsidP="00D43FE4">
      <w:pPr>
        <w:pStyle w:val="ListParagraph"/>
        <w:numPr>
          <w:ilvl w:val="0"/>
          <w:numId w:val="21"/>
        </w:numPr>
        <w:spacing w:after="0"/>
      </w:pPr>
      <w:r w:rsidRPr="00D43FE4">
        <w:t>Urban feeders</w:t>
      </w:r>
      <w:r w:rsidR="00FE7F27">
        <w:t xml:space="preserve"> are typically stout, low impedance, short length, and</w:t>
      </w:r>
      <w:r w:rsidRPr="00D43FE4">
        <w:t xml:space="preserve"> have low losses </w:t>
      </w:r>
      <w:r w:rsidR="00FE7F27">
        <w:t xml:space="preserve">so they </w:t>
      </w:r>
      <w:r w:rsidRPr="00D43FE4">
        <w:t>are not highly location sensitive</w:t>
      </w:r>
      <w:r w:rsidR="00FE7F27">
        <w:t xml:space="preserve">. </w:t>
      </w:r>
    </w:p>
    <w:p w14:paraId="709DFAD3" w14:textId="4DF9C9A7" w:rsidR="00195811" w:rsidRDefault="00FE7F27">
      <w:r>
        <w:t xml:space="preserve">Losses on the secondary network are mainly derived from net transformer loading and will be minimal when generation is coincident and sized to match load (i.e. load is fed from generation locally). </w:t>
      </w:r>
      <w:r w:rsidR="00195811">
        <w:br w:type="page"/>
      </w:r>
    </w:p>
    <w:p w14:paraId="5C037B4F" w14:textId="560D4413" w:rsidR="00030642" w:rsidRPr="00195811" w:rsidRDefault="00062F4C" w:rsidP="00195811">
      <w:pPr>
        <w:pStyle w:val="Heading1"/>
        <w:spacing w:before="0"/>
      </w:pPr>
      <w:r>
        <w:lastRenderedPageBreak/>
        <w:t xml:space="preserve">Conclusion </w:t>
      </w:r>
    </w:p>
    <w:p w14:paraId="51FED746" w14:textId="77777777" w:rsidR="00195811" w:rsidRDefault="00030642" w:rsidP="00195811">
      <w:pPr>
        <w:pStyle w:val="ListParagraph"/>
        <w:numPr>
          <w:ilvl w:val="0"/>
          <w:numId w:val="28"/>
        </w:numPr>
        <w:rPr>
          <w:b/>
          <w:bCs/>
        </w:rPr>
      </w:pPr>
      <w:r w:rsidRPr="00030642">
        <w:rPr>
          <w:b/>
          <w:bCs/>
        </w:rPr>
        <w:t xml:space="preserve">For Cost Effectiveness Use Case in DERAC </w:t>
      </w:r>
    </w:p>
    <w:p w14:paraId="0834FEF8" w14:textId="77777777" w:rsidR="00195811" w:rsidRPr="004E4ACB" w:rsidRDefault="00760256" w:rsidP="00195811">
      <w:pPr>
        <w:pStyle w:val="ListParagraph"/>
        <w:numPr>
          <w:ilvl w:val="1"/>
          <w:numId w:val="28"/>
        </w:numPr>
        <w:rPr>
          <w:b/>
          <w:bCs/>
        </w:rPr>
      </w:pPr>
      <w:r w:rsidRPr="00030642">
        <w:t xml:space="preserve">Maintain Status Quo in publicly available </w:t>
      </w:r>
      <w:r w:rsidR="00030642">
        <w:t xml:space="preserve">LNBA Calculator </w:t>
      </w:r>
      <w:r w:rsidRPr="00030642">
        <w:t>to</w:t>
      </w:r>
      <w:r w:rsidR="00030642">
        <w:t>ol and DERAC calculators</w:t>
      </w:r>
      <w:r w:rsidRPr="00030642">
        <w:t>.</w:t>
      </w:r>
    </w:p>
    <w:p w14:paraId="5B93EFC8" w14:textId="4934BD2E" w:rsidR="009756E0" w:rsidRPr="004E4ACB" w:rsidRDefault="009756E0" w:rsidP="00195811">
      <w:pPr>
        <w:pStyle w:val="ListParagraph"/>
        <w:numPr>
          <w:ilvl w:val="1"/>
          <w:numId w:val="28"/>
        </w:numPr>
        <w:rPr>
          <w:bCs/>
        </w:rPr>
      </w:pPr>
      <w:r w:rsidRPr="004E4ACB">
        <w:rPr>
          <w:bCs/>
        </w:rPr>
        <w:t>As DERAC becomes more granular, incorporate additional public loss factors corresponding to additional granularity (e.g. LCR-level transmission loss factors).</w:t>
      </w:r>
    </w:p>
    <w:p w14:paraId="3C33BBD1" w14:textId="6D9BAC7C" w:rsidR="00030642" w:rsidRPr="00195811" w:rsidRDefault="00030642" w:rsidP="00195811">
      <w:pPr>
        <w:pStyle w:val="ListParagraph"/>
        <w:numPr>
          <w:ilvl w:val="0"/>
          <w:numId w:val="28"/>
        </w:numPr>
        <w:rPr>
          <w:b/>
          <w:bCs/>
        </w:rPr>
      </w:pPr>
      <w:r w:rsidRPr="00195811">
        <w:rPr>
          <w:b/>
          <w:bCs/>
        </w:rPr>
        <w:t>Deferral Framework Use Case</w:t>
      </w:r>
    </w:p>
    <w:p w14:paraId="27B927A7" w14:textId="7FB15702" w:rsidR="007D19A5" w:rsidRPr="00030642" w:rsidRDefault="00962251" w:rsidP="00030642">
      <w:pPr>
        <w:pStyle w:val="ListParagraph"/>
        <w:numPr>
          <w:ilvl w:val="1"/>
          <w:numId w:val="25"/>
        </w:numPr>
      </w:pPr>
      <w:r>
        <w:t>Incorporate more locational differentiation of losses within the LNBA tool</w:t>
      </w:r>
      <w:r w:rsidRPr="00030642" w:rsidDel="00962251">
        <w:t xml:space="preserve"> </w:t>
      </w:r>
    </w:p>
    <w:p w14:paraId="05330CA3" w14:textId="46F03DB7" w:rsidR="007D19A5" w:rsidRPr="00030642" w:rsidRDefault="00760256" w:rsidP="00760256">
      <w:pPr>
        <w:pStyle w:val="ListParagraph"/>
        <w:numPr>
          <w:ilvl w:val="1"/>
          <w:numId w:val="25"/>
        </w:numPr>
      </w:pPr>
      <w:r w:rsidRPr="00030642">
        <w:t xml:space="preserve">Variation in losses can be significant for “outlier” locations (e.g. at a location with 25% losses at peak, a </w:t>
      </w:r>
      <w:r w:rsidR="00AB3836">
        <w:t>80</w:t>
      </w:r>
      <w:r w:rsidR="00AB3836" w:rsidRPr="00030642">
        <w:t xml:space="preserve">0 </w:t>
      </w:r>
      <w:r w:rsidRPr="00030642">
        <w:t>kW generator can provide 1 MW load reduction at the transformer)</w:t>
      </w:r>
    </w:p>
    <w:p w14:paraId="127869F6" w14:textId="77777777" w:rsidR="007D19A5" w:rsidRPr="00030642" w:rsidRDefault="00760256" w:rsidP="00760256">
      <w:pPr>
        <w:pStyle w:val="ListParagraph"/>
        <w:numPr>
          <w:ilvl w:val="0"/>
          <w:numId w:val="30"/>
        </w:numPr>
      </w:pPr>
      <w:r w:rsidRPr="00030642">
        <w:t>Evaluation approach will depend on number of deferral opportunities and associated circuits that pass through deferral screens TBD in track 3</w:t>
      </w:r>
    </w:p>
    <w:p w14:paraId="3085C44E" w14:textId="13116B3B" w:rsidR="007D19A5" w:rsidRPr="00030642" w:rsidRDefault="00760256" w:rsidP="00030642">
      <w:pPr>
        <w:pStyle w:val="ListParagraph"/>
        <w:numPr>
          <w:ilvl w:val="3"/>
          <w:numId w:val="25"/>
        </w:numPr>
      </w:pPr>
      <w:r w:rsidRPr="00030642">
        <w:t xml:space="preserve">If a small number of feeders, more detailed modeling </w:t>
      </w:r>
      <w:r w:rsidR="00962251">
        <w:t>could be</w:t>
      </w:r>
      <w:r w:rsidRPr="00030642">
        <w:t xml:space="preserve"> feasible </w:t>
      </w:r>
    </w:p>
    <w:p w14:paraId="16C8B82F" w14:textId="77777777" w:rsidR="007D19A5" w:rsidRPr="00030642" w:rsidRDefault="00760256" w:rsidP="00030642">
      <w:pPr>
        <w:pStyle w:val="ListParagraph"/>
        <w:numPr>
          <w:ilvl w:val="3"/>
          <w:numId w:val="25"/>
        </w:numPr>
      </w:pPr>
      <w:r w:rsidRPr="00030642">
        <w:t>If a large number of feeders, a clustering/representative feeder approach may be needed.</w:t>
      </w:r>
    </w:p>
    <w:p w14:paraId="2D4EA05E" w14:textId="097C76D1" w:rsidR="007D19A5" w:rsidRPr="00030642" w:rsidRDefault="00760256" w:rsidP="00760256">
      <w:pPr>
        <w:pStyle w:val="ListParagraph"/>
        <w:numPr>
          <w:ilvl w:val="0"/>
          <w:numId w:val="30"/>
        </w:numPr>
      </w:pPr>
      <w:r w:rsidRPr="00030642">
        <w:t xml:space="preserve">IOUs will incorporate </w:t>
      </w:r>
      <w:r w:rsidR="00EE0626">
        <w:t>one of the above</w:t>
      </w:r>
      <w:r w:rsidR="00EE0626" w:rsidRPr="00030642">
        <w:t xml:space="preserve"> </w:t>
      </w:r>
      <w:r w:rsidRPr="00030642">
        <w:t>approach</w:t>
      </w:r>
      <w:r w:rsidR="00EE0626">
        <w:t>es</w:t>
      </w:r>
      <w:r w:rsidRPr="00030642">
        <w:t xml:space="preserve"> in </w:t>
      </w:r>
      <w:r w:rsidR="00EE0626">
        <w:t xml:space="preserve">the </w:t>
      </w:r>
      <w:r w:rsidRPr="00030642">
        <w:t>2018 roll out of LNBA heat map and public tool</w:t>
      </w:r>
    </w:p>
    <w:p w14:paraId="0E4E14DB" w14:textId="77777777" w:rsidR="00190FD3" w:rsidRPr="006B3453" w:rsidRDefault="00190FD3" w:rsidP="00190FD3">
      <w:pPr>
        <w:pStyle w:val="ListParagraph"/>
        <w:spacing w:after="0"/>
      </w:pPr>
    </w:p>
    <w:sectPr w:rsidR="00190FD3" w:rsidRPr="006B3453" w:rsidSect="00B6715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237A78" w14:textId="77777777" w:rsidR="00807EB1" w:rsidRDefault="00807EB1" w:rsidP="00807EB1">
      <w:pPr>
        <w:spacing w:after="0" w:line="240" w:lineRule="auto"/>
      </w:pPr>
      <w:r>
        <w:separator/>
      </w:r>
    </w:p>
  </w:endnote>
  <w:endnote w:type="continuationSeparator" w:id="0">
    <w:p w14:paraId="794AE56E" w14:textId="77777777" w:rsidR="00807EB1" w:rsidRDefault="00807EB1" w:rsidP="00807E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772AD2" w14:textId="77777777" w:rsidR="00807EB1" w:rsidRDefault="00807EB1" w:rsidP="00807EB1">
      <w:pPr>
        <w:spacing w:after="0" w:line="240" w:lineRule="auto"/>
      </w:pPr>
      <w:r>
        <w:separator/>
      </w:r>
    </w:p>
  </w:footnote>
  <w:footnote w:type="continuationSeparator" w:id="0">
    <w:p w14:paraId="2614DE84" w14:textId="77777777" w:rsidR="00807EB1" w:rsidRDefault="00807EB1" w:rsidP="00807EB1">
      <w:pPr>
        <w:spacing w:after="0" w:line="240" w:lineRule="auto"/>
      </w:pPr>
      <w:r>
        <w:continuationSeparator/>
      </w:r>
    </w:p>
  </w:footnote>
  <w:footnote w:id="1">
    <w:p w14:paraId="438518AC" w14:textId="55AF2871" w:rsidR="00807EB1" w:rsidRDefault="00807EB1">
      <w:pPr>
        <w:pStyle w:val="FootnoteText"/>
      </w:pPr>
      <w:r>
        <w:rPr>
          <w:rStyle w:val="FootnoteReference"/>
        </w:rPr>
        <w:footnoteRef/>
      </w:r>
      <w:r>
        <w:t xml:space="preserve"> The DERAC tool currently uses PTO-level average transmission loss factors; however, once LCR area granularity for generation capacity avoided costs is incorporated into LNBA, then LCR area specific transmission loss factors can be applied.</w:t>
      </w:r>
    </w:p>
  </w:footnote>
  <w:footnote w:id="2">
    <w:p w14:paraId="670A42A5" w14:textId="0E6DA0E4" w:rsidR="008822AE" w:rsidRDefault="008822AE">
      <w:pPr>
        <w:pStyle w:val="FootnoteText"/>
      </w:pPr>
      <w:r>
        <w:rPr>
          <w:rStyle w:val="FootnoteReference"/>
        </w:rPr>
        <w:footnoteRef/>
      </w:r>
      <w:r>
        <w:t xml:space="preserve"> Note that since the load is flat in all hours, the peak loss factor used to calculate avoided generation capacity is the same as the average loss factor used to calculate avoided energy. More typically, a distinction is made to calculate generation capacity and energy avoided cost, respectively.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36810"/>
    <w:multiLevelType w:val="hybridMultilevel"/>
    <w:tmpl w:val="DBD62F84"/>
    <w:lvl w:ilvl="0" w:tplc="EACC172C">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1386298"/>
    <w:multiLevelType w:val="hybridMultilevel"/>
    <w:tmpl w:val="595A237E"/>
    <w:lvl w:ilvl="0" w:tplc="B0EA93EA">
      <w:start w:val="1"/>
      <w:numFmt w:val="bullet"/>
      <w:lvlText w:val="o"/>
      <w:lvlJc w:val="left"/>
      <w:pPr>
        <w:tabs>
          <w:tab w:val="num" w:pos="720"/>
        </w:tabs>
        <w:ind w:left="720" w:hanging="360"/>
      </w:pPr>
      <w:rPr>
        <w:rFonts w:ascii="Courier New" w:hAnsi="Courier New" w:hint="default"/>
      </w:rPr>
    </w:lvl>
    <w:lvl w:ilvl="1" w:tplc="EACC172C">
      <w:numFmt w:val="bullet"/>
      <w:lvlText w:val="–"/>
      <w:lvlJc w:val="left"/>
      <w:pPr>
        <w:tabs>
          <w:tab w:val="num" w:pos="1440"/>
        </w:tabs>
        <w:ind w:left="1440" w:hanging="360"/>
      </w:pPr>
      <w:rPr>
        <w:rFonts w:ascii="Arial" w:hAnsi="Arial" w:hint="default"/>
      </w:rPr>
    </w:lvl>
    <w:lvl w:ilvl="2" w:tplc="EACC172C">
      <w:numFmt w:val="bullet"/>
      <w:lvlText w:val="–"/>
      <w:lvlJc w:val="left"/>
      <w:pPr>
        <w:tabs>
          <w:tab w:val="num" w:pos="2160"/>
        </w:tabs>
        <w:ind w:left="2160" w:hanging="360"/>
      </w:pPr>
      <w:rPr>
        <w:rFonts w:ascii="Arial" w:hAnsi="Arial" w:hint="default"/>
      </w:rPr>
    </w:lvl>
    <w:lvl w:ilvl="3" w:tplc="EACC172C">
      <w:numFmt w:val="bullet"/>
      <w:lvlText w:val="–"/>
      <w:lvlJc w:val="left"/>
      <w:pPr>
        <w:tabs>
          <w:tab w:val="num" w:pos="2880"/>
        </w:tabs>
        <w:ind w:left="2880" w:hanging="360"/>
      </w:pPr>
      <w:rPr>
        <w:rFonts w:ascii="Arial" w:hAnsi="Arial" w:hint="default"/>
      </w:rPr>
    </w:lvl>
    <w:lvl w:ilvl="4" w:tplc="68782718" w:tentative="1">
      <w:start w:val="1"/>
      <w:numFmt w:val="bullet"/>
      <w:lvlText w:val="o"/>
      <w:lvlJc w:val="left"/>
      <w:pPr>
        <w:tabs>
          <w:tab w:val="num" w:pos="3600"/>
        </w:tabs>
        <w:ind w:left="3600" w:hanging="360"/>
      </w:pPr>
      <w:rPr>
        <w:rFonts w:ascii="Courier New" w:hAnsi="Courier New" w:hint="default"/>
      </w:rPr>
    </w:lvl>
    <w:lvl w:ilvl="5" w:tplc="20C20D42" w:tentative="1">
      <w:start w:val="1"/>
      <w:numFmt w:val="bullet"/>
      <w:lvlText w:val="o"/>
      <w:lvlJc w:val="left"/>
      <w:pPr>
        <w:tabs>
          <w:tab w:val="num" w:pos="4320"/>
        </w:tabs>
        <w:ind w:left="4320" w:hanging="360"/>
      </w:pPr>
      <w:rPr>
        <w:rFonts w:ascii="Courier New" w:hAnsi="Courier New" w:hint="default"/>
      </w:rPr>
    </w:lvl>
    <w:lvl w:ilvl="6" w:tplc="FD6CB6D6" w:tentative="1">
      <w:start w:val="1"/>
      <w:numFmt w:val="bullet"/>
      <w:lvlText w:val="o"/>
      <w:lvlJc w:val="left"/>
      <w:pPr>
        <w:tabs>
          <w:tab w:val="num" w:pos="5040"/>
        </w:tabs>
        <w:ind w:left="5040" w:hanging="360"/>
      </w:pPr>
      <w:rPr>
        <w:rFonts w:ascii="Courier New" w:hAnsi="Courier New" w:hint="default"/>
      </w:rPr>
    </w:lvl>
    <w:lvl w:ilvl="7" w:tplc="C526F042" w:tentative="1">
      <w:start w:val="1"/>
      <w:numFmt w:val="bullet"/>
      <w:lvlText w:val="o"/>
      <w:lvlJc w:val="left"/>
      <w:pPr>
        <w:tabs>
          <w:tab w:val="num" w:pos="5760"/>
        </w:tabs>
        <w:ind w:left="5760" w:hanging="360"/>
      </w:pPr>
      <w:rPr>
        <w:rFonts w:ascii="Courier New" w:hAnsi="Courier New" w:hint="default"/>
      </w:rPr>
    </w:lvl>
    <w:lvl w:ilvl="8" w:tplc="97A4EE84"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01CB6FDD"/>
    <w:multiLevelType w:val="hybridMultilevel"/>
    <w:tmpl w:val="6568AFAC"/>
    <w:lvl w:ilvl="0" w:tplc="F5EE4A46">
      <w:start w:val="1"/>
      <w:numFmt w:val="bullet"/>
      <w:lvlText w:val="•"/>
      <w:lvlJc w:val="left"/>
      <w:pPr>
        <w:tabs>
          <w:tab w:val="num" w:pos="720"/>
        </w:tabs>
        <w:ind w:left="720" w:hanging="360"/>
      </w:pPr>
      <w:rPr>
        <w:rFonts w:ascii="Arial" w:hAnsi="Arial" w:hint="default"/>
      </w:rPr>
    </w:lvl>
    <w:lvl w:ilvl="1" w:tplc="E96C8D92" w:tentative="1">
      <w:start w:val="1"/>
      <w:numFmt w:val="bullet"/>
      <w:lvlText w:val="•"/>
      <w:lvlJc w:val="left"/>
      <w:pPr>
        <w:tabs>
          <w:tab w:val="num" w:pos="1440"/>
        </w:tabs>
        <w:ind w:left="1440" w:hanging="360"/>
      </w:pPr>
      <w:rPr>
        <w:rFonts w:ascii="Arial" w:hAnsi="Arial" w:hint="default"/>
      </w:rPr>
    </w:lvl>
    <w:lvl w:ilvl="2" w:tplc="96F014E2">
      <w:start w:val="1"/>
      <w:numFmt w:val="bullet"/>
      <w:lvlText w:val="•"/>
      <w:lvlJc w:val="left"/>
      <w:pPr>
        <w:tabs>
          <w:tab w:val="num" w:pos="2160"/>
        </w:tabs>
        <w:ind w:left="2160" w:hanging="360"/>
      </w:pPr>
      <w:rPr>
        <w:rFonts w:ascii="Arial" w:hAnsi="Arial" w:hint="default"/>
      </w:rPr>
    </w:lvl>
    <w:lvl w:ilvl="3" w:tplc="931C1140" w:tentative="1">
      <w:start w:val="1"/>
      <w:numFmt w:val="bullet"/>
      <w:lvlText w:val="•"/>
      <w:lvlJc w:val="left"/>
      <w:pPr>
        <w:tabs>
          <w:tab w:val="num" w:pos="2880"/>
        </w:tabs>
        <w:ind w:left="2880" w:hanging="360"/>
      </w:pPr>
      <w:rPr>
        <w:rFonts w:ascii="Arial" w:hAnsi="Arial" w:hint="default"/>
      </w:rPr>
    </w:lvl>
    <w:lvl w:ilvl="4" w:tplc="170A4F08" w:tentative="1">
      <w:start w:val="1"/>
      <w:numFmt w:val="bullet"/>
      <w:lvlText w:val="•"/>
      <w:lvlJc w:val="left"/>
      <w:pPr>
        <w:tabs>
          <w:tab w:val="num" w:pos="3600"/>
        </w:tabs>
        <w:ind w:left="3600" w:hanging="360"/>
      </w:pPr>
      <w:rPr>
        <w:rFonts w:ascii="Arial" w:hAnsi="Arial" w:hint="default"/>
      </w:rPr>
    </w:lvl>
    <w:lvl w:ilvl="5" w:tplc="375E7058" w:tentative="1">
      <w:start w:val="1"/>
      <w:numFmt w:val="bullet"/>
      <w:lvlText w:val="•"/>
      <w:lvlJc w:val="left"/>
      <w:pPr>
        <w:tabs>
          <w:tab w:val="num" w:pos="4320"/>
        </w:tabs>
        <w:ind w:left="4320" w:hanging="360"/>
      </w:pPr>
      <w:rPr>
        <w:rFonts w:ascii="Arial" w:hAnsi="Arial" w:hint="default"/>
      </w:rPr>
    </w:lvl>
    <w:lvl w:ilvl="6" w:tplc="63005524" w:tentative="1">
      <w:start w:val="1"/>
      <w:numFmt w:val="bullet"/>
      <w:lvlText w:val="•"/>
      <w:lvlJc w:val="left"/>
      <w:pPr>
        <w:tabs>
          <w:tab w:val="num" w:pos="5040"/>
        </w:tabs>
        <w:ind w:left="5040" w:hanging="360"/>
      </w:pPr>
      <w:rPr>
        <w:rFonts w:ascii="Arial" w:hAnsi="Arial" w:hint="default"/>
      </w:rPr>
    </w:lvl>
    <w:lvl w:ilvl="7" w:tplc="95F8EF04" w:tentative="1">
      <w:start w:val="1"/>
      <w:numFmt w:val="bullet"/>
      <w:lvlText w:val="•"/>
      <w:lvlJc w:val="left"/>
      <w:pPr>
        <w:tabs>
          <w:tab w:val="num" w:pos="5760"/>
        </w:tabs>
        <w:ind w:left="5760" w:hanging="360"/>
      </w:pPr>
      <w:rPr>
        <w:rFonts w:ascii="Arial" w:hAnsi="Arial" w:hint="default"/>
      </w:rPr>
    </w:lvl>
    <w:lvl w:ilvl="8" w:tplc="32EAB80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46E1E76"/>
    <w:multiLevelType w:val="hybridMultilevel"/>
    <w:tmpl w:val="A428F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25504C"/>
    <w:multiLevelType w:val="hybridMultilevel"/>
    <w:tmpl w:val="1B20237E"/>
    <w:lvl w:ilvl="0" w:tplc="EACC172C">
      <w:numFmt w:val="bullet"/>
      <w:lvlText w:val="–"/>
      <w:lvlJc w:val="left"/>
      <w:pPr>
        <w:ind w:left="1440" w:hanging="360"/>
      </w:pPr>
      <w:rPr>
        <w:rFonts w:ascii="Arial"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5271073"/>
    <w:multiLevelType w:val="hybridMultilevel"/>
    <w:tmpl w:val="7640EED4"/>
    <w:lvl w:ilvl="0" w:tplc="EACC172C">
      <w:numFmt w:val="bullet"/>
      <w:lvlText w:val="–"/>
      <w:lvlJc w:val="left"/>
      <w:pPr>
        <w:ind w:left="2160" w:hanging="360"/>
      </w:pPr>
      <w:rPr>
        <w:rFonts w:ascii="Arial" w:hAnsi="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259630F3"/>
    <w:multiLevelType w:val="hybridMultilevel"/>
    <w:tmpl w:val="2BC233C4"/>
    <w:lvl w:ilvl="0" w:tplc="6D3C10DE">
      <w:start w:val="1"/>
      <w:numFmt w:val="bullet"/>
      <w:lvlText w:val="o"/>
      <w:lvlJc w:val="left"/>
      <w:pPr>
        <w:tabs>
          <w:tab w:val="num" w:pos="720"/>
        </w:tabs>
        <w:ind w:left="720" w:hanging="360"/>
      </w:pPr>
      <w:rPr>
        <w:rFonts w:ascii="Courier New" w:hAnsi="Courier New" w:hint="default"/>
      </w:rPr>
    </w:lvl>
    <w:lvl w:ilvl="1" w:tplc="54361DB8">
      <w:start w:val="1"/>
      <w:numFmt w:val="bullet"/>
      <w:lvlText w:val="o"/>
      <w:lvlJc w:val="left"/>
      <w:pPr>
        <w:tabs>
          <w:tab w:val="num" w:pos="1440"/>
        </w:tabs>
        <w:ind w:left="1440" w:hanging="360"/>
      </w:pPr>
      <w:rPr>
        <w:rFonts w:ascii="Courier New" w:hAnsi="Courier New" w:hint="default"/>
      </w:rPr>
    </w:lvl>
    <w:lvl w:ilvl="2" w:tplc="A62A07D0">
      <w:numFmt w:val="bullet"/>
      <w:lvlText w:val="•"/>
      <w:lvlJc w:val="left"/>
      <w:pPr>
        <w:tabs>
          <w:tab w:val="num" w:pos="2160"/>
        </w:tabs>
        <w:ind w:left="2160" w:hanging="360"/>
      </w:pPr>
      <w:rPr>
        <w:rFonts w:ascii="Arial" w:hAnsi="Arial" w:hint="default"/>
      </w:rPr>
    </w:lvl>
    <w:lvl w:ilvl="3" w:tplc="FEF22C24" w:tentative="1">
      <w:start w:val="1"/>
      <w:numFmt w:val="bullet"/>
      <w:lvlText w:val="o"/>
      <w:lvlJc w:val="left"/>
      <w:pPr>
        <w:tabs>
          <w:tab w:val="num" w:pos="2880"/>
        </w:tabs>
        <w:ind w:left="2880" w:hanging="360"/>
      </w:pPr>
      <w:rPr>
        <w:rFonts w:ascii="Courier New" w:hAnsi="Courier New" w:hint="default"/>
      </w:rPr>
    </w:lvl>
    <w:lvl w:ilvl="4" w:tplc="A88CA7FC" w:tentative="1">
      <w:start w:val="1"/>
      <w:numFmt w:val="bullet"/>
      <w:lvlText w:val="o"/>
      <w:lvlJc w:val="left"/>
      <w:pPr>
        <w:tabs>
          <w:tab w:val="num" w:pos="3600"/>
        </w:tabs>
        <w:ind w:left="3600" w:hanging="360"/>
      </w:pPr>
      <w:rPr>
        <w:rFonts w:ascii="Courier New" w:hAnsi="Courier New" w:hint="default"/>
      </w:rPr>
    </w:lvl>
    <w:lvl w:ilvl="5" w:tplc="DC78863A" w:tentative="1">
      <w:start w:val="1"/>
      <w:numFmt w:val="bullet"/>
      <w:lvlText w:val="o"/>
      <w:lvlJc w:val="left"/>
      <w:pPr>
        <w:tabs>
          <w:tab w:val="num" w:pos="4320"/>
        </w:tabs>
        <w:ind w:left="4320" w:hanging="360"/>
      </w:pPr>
      <w:rPr>
        <w:rFonts w:ascii="Courier New" w:hAnsi="Courier New" w:hint="default"/>
      </w:rPr>
    </w:lvl>
    <w:lvl w:ilvl="6" w:tplc="F6F6E248" w:tentative="1">
      <w:start w:val="1"/>
      <w:numFmt w:val="bullet"/>
      <w:lvlText w:val="o"/>
      <w:lvlJc w:val="left"/>
      <w:pPr>
        <w:tabs>
          <w:tab w:val="num" w:pos="5040"/>
        </w:tabs>
        <w:ind w:left="5040" w:hanging="360"/>
      </w:pPr>
      <w:rPr>
        <w:rFonts w:ascii="Courier New" w:hAnsi="Courier New" w:hint="default"/>
      </w:rPr>
    </w:lvl>
    <w:lvl w:ilvl="7" w:tplc="A3B4A1E0" w:tentative="1">
      <w:start w:val="1"/>
      <w:numFmt w:val="bullet"/>
      <w:lvlText w:val="o"/>
      <w:lvlJc w:val="left"/>
      <w:pPr>
        <w:tabs>
          <w:tab w:val="num" w:pos="5760"/>
        </w:tabs>
        <w:ind w:left="5760" w:hanging="360"/>
      </w:pPr>
      <w:rPr>
        <w:rFonts w:ascii="Courier New" w:hAnsi="Courier New" w:hint="default"/>
      </w:rPr>
    </w:lvl>
    <w:lvl w:ilvl="8" w:tplc="AB66EB6A" w:tentative="1">
      <w:start w:val="1"/>
      <w:numFmt w:val="bullet"/>
      <w:lvlText w:val="o"/>
      <w:lvlJc w:val="left"/>
      <w:pPr>
        <w:tabs>
          <w:tab w:val="num" w:pos="6480"/>
        </w:tabs>
        <w:ind w:left="6480" w:hanging="360"/>
      </w:pPr>
      <w:rPr>
        <w:rFonts w:ascii="Courier New" w:hAnsi="Courier New" w:hint="default"/>
      </w:rPr>
    </w:lvl>
  </w:abstractNum>
  <w:abstractNum w:abstractNumId="8"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start w:val="1"/>
      <w:numFmt w:val="bullet"/>
      <w:lvlText w:val="o"/>
      <w:lvlJc w:val="left"/>
      <w:pPr>
        <w:ind w:left="1488" w:hanging="360"/>
      </w:pPr>
      <w:rPr>
        <w:rFonts w:ascii="Courier New" w:hAnsi="Courier New" w:cs="Courier New" w:hint="default"/>
      </w:rPr>
    </w:lvl>
    <w:lvl w:ilvl="2" w:tplc="04090005">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9" w15:restartNumberingAfterBreak="0">
    <w:nsid w:val="28917B40"/>
    <w:multiLevelType w:val="hybridMultilevel"/>
    <w:tmpl w:val="42565016"/>
    <w:lvl w:ilvl="0" w:tplc="B666E4B0">
      <w:start w:val="1"/>
      <w:numFmt w:val="decimal"/>
      <w:lvlText w:val="%1."/>
      <w:lvlJc w:val="left"/>
      <w:pPr>
        <w:tabs>
          <w:tab w:val="num" w:pos="720"/>
        </w:tabs>
        <w:ind w:left="720" w:hanging="360"/>
      </w:pPr>
    </w:lvl>
    <w:lvl w:ilvl="1" w:tplc="EACC172C">
      <w:numFmt w:val="bullet"/>
      <w:lvlText w:val="–"/>
      <w:lvlJc w:val="left"/>
      <w:pPr>
        <w:tabs>
          <w:tab w:val="num" w:pos="1440"/>
        </w:tabs>
        <w:ind w:left="1440" w:hanging="360"/>
      </w:pPr>
      <w:rPr>
        <w:rFonts w:ascii="Arial" w:hAnsi="Arial" w:hint="default"/>
      </w:rPr>
    </w:lvl>
    <w:lvl w:ilvl="2" w:tplc="6C76860C" w:tentative="1">
      <w:start w:val="1"/>
      <w:numFmt w:val="decimal"/>
      <w:lvlText w:val="%3."/>
      <w:lvlJc w:val="left"/>
      <w:pPr>
        <w:tabs>
          <w:tab w:val="num" w:pos="2160"/>
        </w:tabs>
        <w:ind w:left="2160" w:hanging="360"/>
      </w:pPr>
    </w:lvl>
    <w:lvl w:ilvl="3" w:tplc="F21485BA" w:tentative="1">
      <w:start w:val="1"/>
      <w:numFmt w:val="decimal"/>
      <w:lvlText w:val="%4."/>
      <w:lvlJc w:val="left"/>
      <w:pPr>
        <w:tabs>
          <w:tab w:val="num" w:pos="2880"/>
        </w:tabs>
        <w:ind w:left="2880" w:hanging="360"/>
      </w:pPr>
    </w:lvl>
    <w:lvl w:ilvl="4" w:tplc="ADAC1AA2" w:tentative="1">
      <w:start w:val="1"/>
      <w:numFmt w:val="decimal"/>
      <w:lvlText w:val="%5."/>
      <w:lvlJc w:val="left"/>
      <w:pPr>
        <w:tabs>
          <w:tab w:val="num" w:pos="3600"/>
        </w:tabs>
        <w:ind w:left="3600" w:hanging="360"/>
      </w:pPr>
    </w:lvl>
    <w:lvl w:ilvl="5" w:tplc="FF60B0B8" w:tentative="1">
      <w:start w:val="1"/>
      <w:numFmt w:val="decimal"/>
      <w:lvlText w:val="%6."/>
      <w:lvlJc w:val="left"/>
      <w:pPr>
        <w:tabs>
          <w:tab w:val="num" w:pos="4320"/>
        </w:tabs>
        <w:ind w:left="4320" w:hanging="360"/>
      </w:pPr>
    </w:lvl>
    <w:lvl w:ilvl="6" w:tplc="EE386FAC" w:tentative="1">
      <w:start w:val="1"/>
      <w:numFmt w:val="decimal"/>
      <w:lvlText w:val="%7."/>
      <w:lvlJc w:val="left"/>
      <w:pPr>
        <w:tabs>
          <w:tab w:val="num" w:pos="5040"/>
        </w:tabs>
        <w:ind w:left="5040" w:hanging="360"/>
      </w:pPr>
    </w:lvl>
    <w:lvl w:ilvl="7" w:tplc="BBA410F6" w:tentative="1">
      <w:start w:val="1"/>
      <w:numFmt w:val="decimal"/>
      <w:lvlText w:val="%8."/>
      <w:lvlJc w:val="left"/>
      <w:pPr>
        <w:tabs>
          <w:tab w:val="num" w:pos="5760"/>
        </w:tabs>
        <w:ind w:left="5760" w:hanging="360"/>
      </w:pPr>
    </w:lvl>
    <w:lvl w:ilvl="8" w:tplc="010EEB7C" w:tentative="1">
      <w:start w:val="1"/>
      <w:numFmt w:val="decimal"/>
      <w:lvlText w:val="%9."/>
      <w:lvlJc w:val="left"/>
      <w:pPr>
        <w:tabs>
          <w:tab w:val="num" w:pos="6480"/>
        </w:tabs>
        <w:ind w:left="6480" w:hanging="360"/>
      </w:pPr>
    </w:lvl>
  </w:abstractNum>
  <w:abstractNum w:abstractNumId="10" w15:restartNumberingAfterBreak="0">
    <w:nsid w:val="2A4B3AAF"/>
    <w:multiLevelType w:val="hybridMultilevel"/>
    <w:tmpl w:val="1A707C3E"/>
    <w:lvl w:ilvl="0" w:tplc="BE36C20C">
      <w:start w:val="1"/>
      <w:numFmt w:val="bullet"/>
      <w:lvlText w:val="o"/>
      <w:lvlJc w:val="left"/>
      <w:pPr>
        <w:tabs>
          <w:tab w:val="num" w:pos="720"/>
        </w:tabs>
        <w:ind w:left="720" w:hanging="360"/>
      </w:pPr>
      <w:rPr>
        <w:rFonts w:ascii="Courier New" w:hAnsi="Courier New" w:hint="default"/>
      </w:rPr>
    </w:lvl>
    <w:lvl w:ilvl="1" w:tplc="D1E4A8D8">
      <w:start w:val="1"/>
      <w:numFmt w:val="bullet"/>
      <w:lvlText w:val="o"/>
      <w:lvlJc w:val="left"/>
      <w:pPr>
        <w:tabs>
          <w:tab w:val="num" w:pos="1440"/>
        </w:tabs>
        <w:ind w:left="1440" w:hanging="360"/>
      </w:pPr>
      <w:rPr>
        <w:rFonts w:ascii="Courier New" w:hAnsi="Courier New" w:hint="default"/>
      </w:rPr>
    </w:lvl>
    <w:lvl w:ilvl="2" w:tplc="0A92DE06">
      <w:numFmt w:val="bullet"/>
      <w:lvlText w:val="•"/>
      <w:lvlJc w:val="left"/>
      <w:pPr>
        <w:tabs>
          <w:tab w:val="num" w:pos="2160"/>
        </w:tabs>
        <w:ind w:left="2160" w:hanging="360"/>
      </w:pPr>
      <w:rPr>
        <w:rFonts w:ascii="Arial" w:hAnsi="Arial" w:hint="default"/>
      </w:rPr>
    </w:lvl>
    <w:lvl w:ilvl="3" w:tplc="1A0CAB48" w:tentative="1">
      <w:start w:val="1"/>
      <w:numFmt w:val="bullet"/>
      <w:lvlText w:val="o"/>
      <w:lvlJc w:val="left"/>
      <w:pPr>
        <w:tabs>
          <w:tab w:val="num" w:pos="2880"/>
        </w:tabs>
        <w:ind w:left="2880" w:hanging="360"/>
      </w:pPr>
      <w:rPr>
        <w:rFonts w:ascii="Courier New" w:hAnsi="Courier New" w:hint="default"/>
      </w:rPr>
    </w:lvl>
    <w:lvl w:ilvl="4" w:tplc="52F29B8A" w:tentative="1">
      <w:start w:val="1"/>
      <w:numFmt w:val="bullet"/>
      <w:lvlText w:val="o"/>
      <w:lvlJc w:val="left"/>
      <w:pPr>
        <w:tabs>
          <w:tab w:val="num" w:pos="3600"/>
        </w:tabs>
        <w:ind w:left="3600" w:hanging="360"/>
      </w:pPr>
      <w:rPr>
        <w:rFonts w:ascii="Courier New" w:hAnsi="Courier New" w:hint="default"/>
      </w:rPr>
    </w:lvl>
    <w:lvl w:ilvl="5" w:tplc="8662ED36" w:tentative="1">
      <w:start w:val="1"/>
      <w:numFmt w:val="bullet"/>
      <w:lvlText w:val="o"/>
      <w:lvlJc w:val="left"/>
      <w:pPr>
        <w:tabs>
          <w:tab w:val="num" w:pos="4320"/>
        </w:tabs>
        <w:ind w:left="4320" w:hanging="360"/>
      </w:pPr>
      <w:rPr>
        <w:rFonts w:ascii="Courier New" w:hAnsi="Courier New" w:hint="default"/>
      </w:rPr>
    </w:lvl>
    <w:lvl w:ilvl="6" w:tplc="C33EBB96" w:tentative="1">
      <w:start w:val="1"/>
      <w:numFmt w:val="bullet"/>
      <w:lvlText w:val="o"/>
      <w:lvlJc w:val="left"/>
      <w:pPr>
        <w:tabs>
          <w:tab w:val="num" w:pos="5040"/>
        </w:tabs>
        <w:ind w:left="5040" w:hanging="360"/>
      </w:pPr>
      <w:rPr>
        <w:rFonts w:ascii="Courier New" w:hAnsi="Courier New" w:hint="default"/>
      </w:rPr>
    </w:lvl>
    <w:lvl w:ilvl="7" w:tplc="14C08262" w:tentative="1">
      <w:start w:val="1"/>
      <w:numFmt w:val="bullet"/>
      <w:lvlText w:val="o"/>
      <w:lvlJc w:val="left"/>
      <w:pPr>
        <w:tabs>
          <w:tab w:val="num" w:pos="5760"/>
        </w:tabs>
        <w:ind w:left="5760" w:hanging="360"/>
      </w:pPr>
      <w:rPr>
        <w:rFonts w:ascii="Courier New" w:hAnsi="Courier New" w:hint="default"/>
      </w:rPr>
    </w:lvl>
    <w:lvl w:ilvl="8" w:tplc="569618F2" w:tentative="1">
      <w:start w:val="1"/>
      <w:numFmt w:val="bullet"/>
      <w:lvlText w:val="o"/>
      <w:lvlJc w:val="left"/>
      <w:pPr>
        <w:tabs>
          <w:tab w:val="num" w:pos="6480"/>
        </w:tabs>
        <w:ind w:left="6480" w:hanging="360"/>
      </w:pPr>
      <w:rPr>
        <w:rFonts w:ascii="Courier New" w:hAnsi="Courier New" w:hint="default"/>
      </w:rPr>
    </w:lvl>
  </w:abstractNum>
  <w:abstractNum w:abstractNumId="11" w15:restartNumberingAfterBreak="0">
    <w:nsid w:val="2DB2326D"/>
    <w:multiLevelType w:val="hybridMultilevel"/>
    <w:tmpl w:val="7A184948"/>
    <w:lvl w:ilvl="0" w:tplc="C5887DD4">
      <w:start w:val="1"/>
      <w:numFmt w:val="bullet"/>
      <w:lvlText w:val="–"/>
      <w:lvlJc w:val="left"/>
      <w:pPr>
        <w:tabs>
          <w:tab w:val="num" w:pos="720"/>
        </w:tabs>
        <w:ind w:left="720" w:hanging="360"/>
      </w:pPr>
      <w:rPr>
        <w:rFonts w:ascii="Arial" w:hAnsi="Arial" w:hint="default"/>
      </w:rPr>
    </w:lvl>
    <w:lvl w:ilvl="1" w:tplc="AB76539A">
      <w:start w:val="1"/>
      <w:numFmt w:val="bullet"/>
      <w:lvlText w:val="–"/>
      <w:lvlJc w:val="left"/>
      <w:pPr>
        <w:tabs>
          <w:tab w:val="num" w:pos="1440"/>
        </w:tabs>
        <w:ind w:left="1440" w:hanging="360"/>
      </w:pPr>
      <w:rPr>
        <w:rFonts w:ascii="Arial" w:hAnsi="Arial" w:hint="default"/>
      </w:rPr>
    </w:lvl>
    <w:lvl w:ilvl="2" w:tplc="AD0C53BC" w:tentative="1">
      <w:start w:val="1"/>
      <w:numFmt w:val="bullet"/>
      <w:lvlText w:val="–"/>
      <w:lvlJc w:val="left"/>
      <w:pPr>
        <w:tabs>
          <w:tab w:val="num" w:pos="2160"/>
        </w:tabs>
        <w:ind w:left="2160" w:hanging="360"/>
      </w:pPr>
      <w:rPr>
        <w:rFonts w:ascii="Arial" w:hAnsi="Arial" w:hint="default"/>
      </w:rPr>
    </w:lvl>
    <w:lvl w:ilvl="3" w:tplc="C3F08878" w:tentative="1">
      <w:start w:val="1"/>
      <w:numFmt w:val="bullet"/>
      <w:lvlText w:val="–"/>
      <w:lvlJc w:val="left"/>
      <w:pPr>
        <w:tabs>
          <w:tab w:val="num" w:pos="2880"/>
        </w:tabs>
        <w:ind w:left="2880" w:hanging="360"/>
      </w:pPr>
      <w:rPr>
        <w:rFonts w:ascii="Arial" w:hAnsi="Arial" w:hint="default"/>
      </w:rPr>
    </w:lvl>
    <w:lvl w:ilvl="4" w:tplc="E6E6B92E" w:tentative="1">
      <w:start w:val="1"/>
      <w:numFmt w:val="bullet"/>
      <w:lvlText w:val="–"/>
      <w:lvlJc w:val="left"/>
      <w:pPr>
        <w:tabs>
          <w:tab w:val="num" w:pos="3600"/>
        </w:tabs>
        <w:ind w:left="3600" w:hanging="360"/>
      </w:pPr>
      <w:rPr>
        <w:rFonts w:ascii="Arial" w:hAnsi="Arial" w:hint="default"/>
      </w:rPr>
    </w:lvl>
    <w:lvl w:ilvl="5" w:tplc="C324C4D2" w:tentative="1">
      <w:start w:val="1"/>
      <w:numFmt w:val="bullet"/>
      <w:lvlText w:val="–"/>
      <w:lvlJc w:val="left"/>
      <w:pPr>
        <w:tabs>
          <w:tab w:val="num" w:pos="4320"/>
        </w:tabs>
        <w:ind w:left="4320" w:hanging="360"/>
      </w:pPr>
      <w:rPr>
        <w:rFonts w:ascii="Arial" w:hAnsi="Arial" w:hint="default"/>
      </w:rPr>
    </w:lvl>
    <w:lvl w:ilvl="6" w:tplc="379EF112" w:tentative="1">
      <w:start w:val="1"/>
      <w:numFmt w:val="bullet"/>
      <w:lvlText w:val="–"/>
      <w:lvlJc w:val="left"/>
      <w:pPr>
        <w:tabs>
          <w:tab w:val="num" w:pos="5040"/>
        </w:tabs>
        <w:ind w:left="5040" w:hanging="360"/>
      </w:pPr>
      <w:rPr>
        <w:rFonts w:ascii="Arial" w:hAnsi="Arial" w:hint="default"/>
      </w:rPr>
    </w:lvl>
    <w:lvl w:ilvl="7" w:tplc="ED7AEBE4" w:tentative="1">
      <w:start w:val="1"/>
      <w:numFmt w:val="bullet"/>
      <w:lvlText w:val="–"/>
      <w:lvlJc w:val="left"/>
      <w:pPr>
        <w:tabs>
          <w:tab w:val="num" w:pos="5760"/>
        </w:tabs>
        <w:ind w:left="5760" w:hanging="360"/>
      </w:pPr>
      <w:rPr>
        <w:rFonts w:ascii="Arial" w:hAnsi="Arial" w:hint="default"/>
      </w:rPr>
    </w:lvl>
    <w:lvl w:ilvl="8" w:tplc="401A968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41844D7"/>
    <w:multiLevelType w:val="hybridMultilevel"/>
    <w:tmpl w:val="4D8C6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E3418A0"/>
    <w:multiLevelType w:val="hybridMultilevel"/>
    <w:tmpl w:val="BA8ABF60"/>
    <w:lvl w:ilvl="0" w:tplc="04090001">
      <w:start w:val="1"/>
      <w:numFmt w:val="bullet"/>
      <w:lvlText w:val=""/>
      <w:lvlJc w:val="left"/>
      <w:pPr>
        <w:ind w:left="720" w:hanging="360"/>
      </w:pPr>
      <w:rPr>
        <w:rFonts w:ascii="Symbol" w:hAnsi="Symbol" w:hint="default"/>
      </w:rPr>
    </w:lvl>
    <w:lvl w:ilvl="1" w:tplc="EACC172C">
      <w:numFmt w:val="bullet"/>
      <w:lvlText w:val="–"/>
      <w:lvlJc w:val="left"/>
      <w:pPr>
        <w:ind w:left="1440" w:hanging="360"/>
      </w:pPr>
      <w:rPr>
        <w:rFonts w:ascii="Arial"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5B9116D"/>
    <w:multiLevelType w:val="hybridMultilevel"/>
    <w:tmpl w:val="52A87A7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6" w15:restartNumberingAfterBreak="0">
    <w:nsid w:val="48BD409F"/>
    <w:multiLevelType w:val="hybridMultilevel"/>
    <w:tmpl w:val="CC64D4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F095D6A"/>
    <w:multiLevelType w:val="hybridMultilevel"/>
    <w:tmpl w:val="F4ACE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725266"/>
    <w:multiLevelType w:val="hybridMultilevel"/>
    <w:tmpl w:val="C1F0BC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5212C4B"/>
    <w:multiLevelType w:val="hybridMultilevel"/>
    <w:tmpl w:val="2BEEBB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6BA5B98"/>
    <w:multiLevelType w:val="hybridMultilevel"/>
    <w:tmpl w:val="5E9AB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FE6521B"/>
    <w:multiLevelType w:val="hybridMultilevel"/>
    <w:tmpl w:val="2244F624"/>
    <w:lvl w:ilvl="0" w:tplc="750CCCD2">
      <w:start w:val="1"/>
      <w:numFmt w:val="bullet"/>
      <w:lvlText w:val="–"/>
      <w:lvlJc w:val="left"/>
      <w:pPr>
        <w:tabs>
          <w:tab w:val="num" w:pos="720"/>
        </w:tabs>
        <w:ind w:left="720" w:hanging="360"/>
      </w:pPr>
      <w:rPr>
        <w:rFonts w:ascii="Arial" w:hAnsi="Arial" w:hint="default"/>
      </w:rPr>
    </w:lvl>
    <w:lvl w:ilvl="1" w:tplc="38465BB0">
      <w:start w:val="1"/>
      <w:numFmt w:val="bullet"/>
      <w:lvlText w:val="–"/>
      <w:lvlJc w:val="left"/>
      <w:pPr>
        <w:tabs>
          <w:tab w:val="num" w:pos="1440"/>
        </w:tabs>
        <w:ind w:left="1440" w:hanging="360"/>
      </w:pPr>
      <w:rPr>
        <w:rFonts w:ascii="Arial" w:hAnsi="Arial" w:hint="default"/>
      </w:rPr>
    </w:lvl>
    <w:lvl w:ilvl="2" w:tplc="0994C6B8" w:tentative="1">
      <w:start w:val="1"/>
      <w:numFmt w:val="bullet"/>
      <w:lvlText w:val="–"/>
      <w:lvlJc w:val="left"/>
      <w:pPr>
        <w:tabs>
          <w:tab w:val="num" w:pos="2160"/>
        </w:tabs>
        <w:ind w:left="2160" w:hanging="360"/>
      </w:pPr>
      <w:rPr>
        <w:rFonts w:ascii="Arial" w:hAnsi="Arial" w:hint="default"/>
      </w:rPr>
    </w:lvl>
    <w:lvl w:ilvl="3" w:tplc="28AEF9AC" w:tentative="1">
      <w:start w:val="1"/>
      <w:numFmt w:val="bullet"/>
      <w:lvlText w:val="–"/>
      <w:lvlJc w:val="left"/>
      <w:pPr>
        <w:tabs>
          <w:tab w:val="num" w:pos="2880"/>
        </w:tabs>
        <w:ind w:left="2880" w:hanging="360"/>
      </w:pPr>
      <w:rPr>
        <w:rFonts w:ascii="Arial" w:hAnsi="Arial" w:hint="default"/>
      </w:rPr>
    </w:lvl>
    <w:lvl w:ilvl="4" w:tplc="FAE82EBA" w:tentative="1">
      <w:start w:val="1"/>
      <w:numFmt w:val="bullet"/>
      <w:lvlText w:val="–"/>
      <w:lvlJc w:val="left"/>
      <w:pPr>
        <w:tabs>
          <w:tab w:val="num" w:pos="3600"/>
        </w:tabs>
        <w:ind w:left="3600" w:hanging="360"/>
      </w:pPr>
      <w:rPr>
        <w:rFonts w:ascii="Arial" w:hAnsi="Arial" w:hint="default"/>
      </w:rPr>
    </w:lvl>
    <w:lvl w:ilvl="5" w:tplc="EEA48C32" w:tentative="1">
      <w:start w:val="1"/>
      <w:numFmt w:val="bullet"/>
      <w:lvlText w:val="–"/>
      <w:lvlJc w:val="left"/>
      <w:pPr>
        <w:tabs>
          <w:tab w:val="num" w:pos="4320"/>
        </w:tabs>
        <w:ind w:left="4320" w:hanging="360"/>
      </w:pPr>
      <w:rPr>
        <w:rFonts w:ascii="Arial" w:hAnsi="Arial" w:hint="default"/>
      </w:rPr>
    </w:lvl>
    <w:lvl w:ilvl="6" w:tplc="D070D392" w:tentative="1">
      <w:start w:val="1"/>
      <w:numFmt w:val="bullet"/>
      <w:lvlText w:val="–"/>
      <w:lvlJc w:val="left"/>
      <w:pPr>
        <w:tabs>
          <w:tab w:val="num" w:pos="5040"/>
        </w:tabs>
        <w:ind w:left="5040" w:hanging="360"/>
      </w:pPr>
      <w:rPr>
        <w:rFonts w:ascii="Arial" w:hAnsi="Arial" w:hint="default"/>
      </w:rPr>
    </w:lvl>
    <w:lvl w:ilvl="7" w:tplc="43A0B320" w:tentative="1">
      <w:start w:val="1"/>
      <w:numFmt w:val="bullet"/>
      <w:lvlText w:val="–"/>
      <w:lvlJc w:val="left"/>
      <w:pPr>
        <w:tabs>
          <w:tab w:val="num" w:pos="5760"/>
        </w:tabs>
        <w:ind w:left="5760" w:hanging="360"/>
      </w:pPr>
      <w:rPr>
        <w:rFonts w:ascii="Arial" w:hAnsi="Arial" w:hint="default"/>
      </w:rPr>
    </w:lvl>
    <w:lvl w:ilvl="8" w:tplc="56EC13E6"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62EA7C1E"/>
    <w:multiLevelType w:val="hybridMultilevel"/>
    <w:tmpl w:val="BA18D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42B1342"/>
    <w:multiLevelType w:val="hybridMultilevel"/>
    <w:tmpl w:val="E37244B8"/>
    <w:lvl w:ilvl="0" w:tplc="EACC172C">
      <w:numFmt w:val="bullet"/>
      <w:lvlText w:val="–"/>
      <w:lvlJc w:val="left"/>
      <w:pPr>
        <w:ind w:left="2160" w:hanging="360"/>
      </w:pPr>
      <w:rPr>
        <w:rFonts w:ascii="Arial" w:hAnsi="Aria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4" w15:restartNumberingAfterBreak="0">
    <w:nsid w:val="664773BD"/>
    <w:multiLevelType w:val="hybridMultilevel"/>
    <w:tmpl w:val="4F1E9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5F3CBD"/>
    <w:multiLevelType w:val="hybridMultilevel"/>
    <w:tmpl w:val="4F1E9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4A03F5"/>
    <w:multiLevelType w:val="hybridMultilevel"/>
    <w:tmpl w:val="1578D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A3104F"/>
    <w:multiLevelType w:val="hybridMultilevel"/>
    <w:tmpl w:val="B2C49876"/>
    <w:lvl w:ilvl="0" w:tplc="836C3F6C">
      <w:start w:val="1"/>
      <w:numFmt w:val="bullet"/>
      <w:lvlText w:val="o"/>
      <w:lvlJc w:val="left"/>
      <w:pPr>
        <w:tabs>
          <w:tab w:val="num" w:pos="720"/>
        </w:tabs>
        <w:ind w:left="720" w:hanging="360"/>
      </w:pPr>
      <w:rPr>
        <w:rFonts w:ascii="Courier New" w:hAnsi="Courier New" w:hint="default"/>
      </w:rPr>
    </w:lvl>
    <w:lvl w:ilvl="1" w:tplc="A0A42D28">
      <w:start w:val="1"/>
      <w:numFmt w:val="bullet"/>
      <w:lvlText w:val="o"/>
      <w:lvlJc w:val="left"/>
      <w:pPr>
        <w:tabs>
          <w:tab w:val="num" w:pos="1440"/>
        </w:tabs>
        <w:ind w:left="1440" w:hanging="360"/>
      </w:pPr>
      <w:rPr>
        <w:rFonts w:ascii="Courier New" w:hAnsi="Courier New" w:hint="default"/>
      </w:rPr>
    </w:lvl>
    <w:lvl w:ilvl="2" w:tplc="C1044592" w:tentative="1">
      <w:start w:val="1"/>
      <w:numFmt w:val="bullet"/>
      <w:lvlText w:val="o"/>
      <w:lvlJc w:val="left"/>
      <w:pPr>
        <w:tabs>
          <w:tab w:val="num" w:pos="2160"/>
        </w:tabs>
        <w:ind w:left="2160" w:hanging="360"/>
      </w:pPr>
      <w:rPr>
        <w:rFonts w:ascii="Courier New" w:hAnsi="Courier New" w:hint="default"/>
      </w:rPr>
    </w:lvl>
    <w:lvl w:ilvl="3" w:tplc="74067CE6" w:tentative="1">
      <w:start w:val="1"/>
      <w:numFmt w:val="bullet"/>
      <w:lvlText w:val="o"/>
      <w:lvlJc w:val="left"/>
      <w:pPr>
        <w:tabs>
          <w:tab w:val="num" w:pos="2880"/>
        </w:tabs>
        <w:ind w:left="2880" w:hanging="360"/>
      </w:pPr>
      <w:rPr>
        <w:rFonts w:ascii="Courier New" w:hAnsi="Courier New" w:hint="default"/>
      </w:rPr>
    </w:lvl>
    <w:lvl w:ilvl="4" w:tplc="EC0879EC" w:tentative="1">
      <w:start w:val="1"/>
      <w:numFmt w:val="bullet"/>
      <w:lvlText w:val="o"/>
      <w:lvlJc w:val="left"/>
      <w:pPr>
        <w:tabs>
          <w:tab w:val="num" w:pos="3600"/>
        </w:tabs>
        <w:ind w:left="3600" w:hanging="360"/>
      </w:pPr>
      <w:rPr>
        <w:rFonts w:ascii="Courier New" w:hAnsi="Courier New" w:hint="default"/>
      </w:rPr>
    </w:lvl>
    <w:lvl w:ilvl="5" w:tplc="E7900330" w:tentative="1">
      <w:start w:val="1"/>
      <w:numFmt w:val="bullet"/>
      <w:lvlText w:val="o"/>
      <w:lvlJc w:val="left"/>
      <w:pPr>
        <w:tabs>
          <w:tab w:val="num" w:pos="4320"/>
        </w:tabs>
        <w:ind w:left="4320" w:hanging="360"/>
      </w:pPr>
      <w:rPr>
        <w:rFonts w:ascii="Courier New" w:hAnsi="Courier New" w:hint="default"/>
      </w:rPr>
    </w:lvl>
    <w:lvl w:ilvl="6" w:tplc="B1F0DDEC" w:tentative="1">
      <w:start w:val="1"/>
      <w:numFmt w:val="bullet"/>
      <w:lvlText w:val="o"/>
      <w:lvlJc w:val="left"/>
      <w:pPr>
        <w:tabs>
          <w:tab w:val="num" w:pos="5040"/>
        </w:tabs>
        <w:ind w:left="5040" w:hanging="360"/>
      </w:pPr>
      <w:rPr>
        <w:rFonts w:ascii="Courier New" w:hAnsi="Courier New" w:hint="default"/>
      </w:rPr>
    </w:lvl>
    <w:lvl w:ilvl="7" w:tplc="2D42B4AE" w:tentative="1">
      <w:start w:val="1"/>
      <w:numFmt w:val="bullet"/>
      <w:lvlText w:val="o"/>
      <w:lvlJc w:val="left"/>
      <w:pPr>
        <w:tabs>
          <w:tab w:val="num" w:pos="5760"/>
        </w:tabs>
        <w:ind w:left="5760" w:hanging="360"/>
      </w:pPr>
      <w:rPr>
        <w:rFonts w:ascii="Courier New" w:hAnsi="Courier New" w:hint="default"/>
      </w:rPr>
    </w:lvl>
    <w:lvl w:ilvl="8" w:tplc="162CF7E8" w:tentative="1">
      <w:start w:val="1"/>
      <w:numFmt w:val="bullet"/>
      <w:lvlText w:val="o"/>
      <w:lvlJc w:val="left"/>
      <w:pPr>
        <w:tabs>
          <w:tab w:val="num" w:pos="6480"/>
        </w:tabs>
        <w:ind w:left="6480" w:hanging="360"/>
      </w:pPr>
      <w:rPr>
        <w:rFonts w:ascii="Courier New" w:hAnsi="Courier New" w:hint="default"/>
      </w:rPr>
    </w:lvl>
  </w:abstractNum>
  <w:abstractNum w:abstractNumId="28" w15:restartNumberingAfterBreak="0">
    <w:nsid w:val="786E6C78"/>
    <w:multiLevelType w:val="hybridMultilevel"/>
    <w:tmpl w:val="2BE0B348"/>
    <w:lvl w:ilvl="0" w:tplc="608E9E70">
      <w:start w:val="1"/>
      <w:numFmt w:val="bullet"/>
      <w:lvlText w:val="o"/>
      <w:lvlJc w:val="left"/>
      <w:pPr>
        <w:tabs>
          <w:tab w:val="num" w:pos="720"/>
        </w:tabs>
        <w:ind w:left="720" w:hanging="360"/>
      </w:pPr>
      <w:rPr>
        <w:rFonts w:ascii="Courier New" w:hAnsi="Courier New" w:hint="default"/>
      </w:rPr>
    </w:lvl>
    <w:lvl w:ilvl="1" w:tplc="BD6080F2">
      <w:start w:val="1"/>
      <w:numFmt w:val="bullet"/>
      <w:lvlText w:val="o"/>
      <w:lvlJc w:val="left"/>
      <w:pPr>
        <w:tabs>
          <w:tab w:val="num" w:pos="1440"/>
        </w:tabs>
        <w:ind w:left="1440" w:hanging="360"/>
      </w:pPr>
      <w:rPr>
        <w:rFonts w:ascii="Courier New" w:hAnsi="Courier New" w:hint="default"/>
      </w:rPr>
    </w:lvl>
    <w:lvl w:ilvl="2" w:tplc="47887D1C">
      <w:numFmt w:val="bullet"/>
      <w:lvlText w:val="•"/>
      <w:lvlJc w:val="left"/>
      <w:pPr>
        <w:tabs>
          <w:tab w:val="num" w:pos="2160"/>
        </w:tabs>
        <w:ind w:left="2160" w:hanging="360"/>
      </w:pPr>
      <w:rPr>
        <w:rFonts w:ascii="Arial" w:hAnsi="Arial" w:hint="default"/>
      </w:rPr>
    </w:lvl>
    <w:lvl w:ilvl="3" w:tplc="36108CE0" w:tentative="1">
      <w:start w:val="1"/>
      <w:numFmt w:val="bullet"/>
      <w:lvlText w:val="o"/>
      <w:lvlJc w:val="left"/>
      <w:pPr>
        <w:tabs>
          <w:tab w:val="num" w:pos="2880"/>
        </w:tabs>
        <w:ind w:left="2880" w:hanging="360"/>
      </w:pPr>
      <w:rPr>
        <w:rFonts w:ascii="Courier New" w:hAnsi="Courier New" w:hint="default"/>
      </w:rPr>
    </w:lvl>
    <w:lvl w:ilvl="4" w:tplc="F47AB7BC" w:tentative="1">
      <w:start w:val="1"/>
      <w:numFmt w:val="bullet"/>
      <w:lvlText w:val="o"/>
      <w:lvlJc w:val="left"/>
      <w:pPr>
        <w:tabs>
          <w:tab w:val="num" w:pos="3600"/>
        </w:tabs>
        <w:ind w:left="3600" w:hanging="360"/>
      </w:pPr>
      <w:rPr>
        <w:rFonts w:ascii="Courier New" w:hAnsi="Courier New" w:hint="default"/>
      </w:rPr>
    </w:lvl>
    <w:lvl w:ilvl="5" w:tplc="3E06C61A" w:tentative="1">
      <w:start w:val="1"/>
      <w:numFmt w:val="bullet"/>
      <w:lvlText w:val="o"/>
      <w:lvlJc w:val="left"/>
      <w:pPr>
        <w:tabs>
          <w:tab w:val="num" w:pos="4320"/>
        </w:tabs>
        <w:ind w:left="4320" w:hanging="360"/>
      </w:pPr>
      <w:rPr>
        <w:rFonts w:ascii="Courier New" w:hAnsi="Courier New" w:hint="default"/>
      </w:rPr>
    </w:lvl>
    <w:lvl w:ilvl="6" w:tplc="788C0682" w:tentative="1">
      <w:start w:val="1"/>
      <w:numFmt w:val="bullet"/>
      <w:lvlText w:val="o"/>
      <w:lvlJc w:val="left"/>
      <w:pPr>
        <w:tabs>
          <w:tab w:val="num" w:pos="5040"/>
        </w:tabs>
        <w:ind w:left="5040" w:hanging="360"/>
      </w:pPr>
      <w:rPr>
        <w:rFonts w:ascii="Courier New" w:hAnsi="Courier New" w:hint="default"/>
      </w:rPr>
    </w:lvl>
    <w:lvl w:ilvl="7" w:tplc="1BB0B0E6" w:tentative="1">
      <w:start w:val="1"/>
      <w:numFmt w:val="bullet"/>
      <w:lvlText w:val="o"/>
      <w:lvlJc w:val="left"/>
      <w:pPr>
        <w:tabs>
          <w:tab w:val="num" w:pos="5760"/>
        </w:tabs>
        <w:ind w:left="5760" w:hanging="360"/>
      </w:pPr>
      <w:rPr>
        <w:rFonts w:ascii="Courier New" w:hAnsi="Courier New" w:hint="default"/>
      </w:rPr>
    </w:lvl>
    <w:lvl w:ilvl="8" w:tplc="F34E8C4A" w:tentative="1">
      <w:start w:val="1"/>
      <w:numFmt w:val="bullet"/>
      <w:lvlText w:val="o"/>
      <w:lvlJc w:val="left"/>
      <w:pPr>
        <w:tabs>
          <w:tab w:val="num" w:pos="6480"/>
        </w:tabs>
        <w:ind w:left="6480" w:hanging="360"/>
      </w:pPr>
      <w:rPr>
        <w:rFonts w:ascii="Courier New" w:hAnsi="Courier New" w:hint="default"/>
      </w:rPr>
    </w:lvl>
  </w:abstractNum>
  <w:abstractNum w:abstractNumId="29" w15:restartNumberingAfterBreak="0">
    <w:nsid w:val="7D626CAE"/>
    <w:multiLevelType w:val="hybridMultilevel"/>
    <w:tmpl w:val="05527A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ED75026"/>
    <w:multiLevelType w:val="hybridMultilevel"/>
    <w:tmpl w:val="28EAEFA6"/>
    <w:lvl w:ilvl="0" w:tplc="3AFE88DC">
      <w:start w:val="1"/>
      <w:numFmt w:val="bullet"/>
      <w:lvlText w:val="–"/>
      <w:lvlJc w:val="left"/>
      <w:pPr>
        <w:tabs>
          <w:tab w:val="num" w:pos="720"/>
        </w:tabs>
        <w:ind w:left="720" w:hanging="360"/>
      </w:pPr>
      <w:rPr>
        <w:rFonts w:ascii="Arial" w:hAnsi="Arial" w:hint="default"/>
      </w:rPr>
    </w:lvl>
    <w:lvl w:ilvl="1" w:tplc="CBFAC202">
      <w:start w:val="1"/>
      <w:numFmt w:val="bullet"/>
      <w:lvlText w:val="–"/>
      <w:lvlJc w:val="left"/>
      <w:pPr>
        <w:tabs>
          <w:tab w:val="num" w:pos="1440"/>
        </w:tabs>
        <w:ind w:left="1440" w:hanging="360"/>
      </w:pPr>
      <w:rPr>
        <w:rFonts w:ascii="Arial" w:hAnsi="Arial" w:hint="default"/>
      </w:rPr>
    </w:lvl>
    <w:lvl w:ilvl="2" w:tplc="3C526DCE" w:tentative="1">
      <w:start w:val="1"/>
      <w:numFmt w:val="bullet"/>
      <w:lvlText w:val="–"/>
      <w:lvlJc w:val="left"/>
      <w:pPr>
        <w:tabs>
          <w:tab w:val="num" w:pos="2160"/>
        </w:tabs>
        <w:ind w:left="2160" w:hanging="360"/>
      </w:pPr>
      <w:rPr>
        <w:rFonts w:ascii="Arial" w:hAnsi="Arial" w:hint="default"/>
      </w:rPr>
    </w:lvl>
    <w:lvl w:ilvl="3" w:tplc="128265E2" w:tentative="1">
      <w:start w:val="1"/>
      <w:numFmt w:val="bullet"/>
      <w:lvlText w:val="–"/>
      <w:lvlJc w:val="left"/>
      <w:pPr>
        <w:tabs>
          <w:tab w:val="num" w:pos="2880"/>
        </w:tabs>
        <w:ind w:left="2880" w:hanging="360"/>
      </w:pPr>
      <w:rPr>
        <w:rFonts w:ascii="Arial" w:hAnsi="Arial" w:hint="default"/>
      </w:rPr>
    </w:lvl>
    <w:lvl w:ilvl="4" w:tplc="28628B42" w:tentative="1">
      <w:start w:val="1"/>
      <w:numFmt w:val="bullet"/>
      <w:lvlText w:val="–"/>
      <w:lvlJc w:val="left"/>
      <w:pPr>
        <w:tabs>
          <w:tab w:val="num" w:pos="3600"/>
        </w:tabs>
        <w:ind w:left="3600" w:hanging="360"/>
      </w:pPr>
      <w:rPr>
        <w:rFonts w:ascii="Arial" w:hAnsi="Arial" w:hint="default"/>
      </w:rPr>
    </w:lvl>
    <w:lvl w:ilvl="5" w:tplc="C4383DD6" w:tentative="1">
      <w:start w:val="1"/>
      <w:numFmt w:val="bullet"/>
      <w:lvlText w:val="–"/>
      <w:lvlJc w:val="left"/>
      <w:pPr>
        <w:tabs>
          <w:tab w:val="num" w:pos="4320"/>
        </w:tabs>
        <w:ind w:left="4320" w:hanging="360"/>
      </w:pPr>
      <w:rPr>
        <w:rFonts w:ascii="Arial" w:hAnsi="Arial" w:hint="default"/>
      </w:rPr>
    </w:lvl>
    <w:lvl w:ilvl="6" w:tplc="C04E1FF6" w:tentative="1">
      <w:start w:val="1"/>
      <w:numFmt w:val="bullet"/>
      <w:lvlText w:val="–"/>
      <w:lvlJc w:val="left"/>
      <w:pPr>
        <w:tabs>
          <w:tab w:val="num" w:pos="5040"/>
        </w:tabs>
        <w:ind w:left="5040" w:hanging="360"/>
      </w:pPr>
      <w:rPr>
        <w:rFonts w:ascii="Arial" w:hAnsi="Arial" w:hint="default"/>
      </w:rPr>
    </w:lvl>
    <w:lvl w:ilvl="7" w:tplc="7598BC1C" w:tentative="1">
      <w:start w:val="1"/>
      <w:numFmt w:val="bullet"/>
      <w:lvlText w:val="–"/>
      <w:lvlJc w:val="left"/>
      <w:pPr>
        <w:tabs>
          <w:tab w:val="num" w:pos="5760"/>
        </w:tabs>
        <w:ind w:left="5760" w:hanging="360"/>
      </w:pPr>
      <w:rPr>
        <w:rFonts w:ascii="Arial" w:hAnsi="Arial" w:hint="default"/>
      </w:rPr>
    </w:lvl>
    <w:lvl w:ilvl="8" w:tplc="12D48BEE"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8"/>
  </w:num>
  <w:num w:numId="3">
    <w:abstractNumId w:val="13"/>
  </w:num>
  <w:num w:numId="4">
    <w:abstractNumId w:val="18"/>
  </w:num>
  <w:num w:numId="5">
    <w:abstractNumId w:val="30"/>
  </w:num>
  <w:num w:numId="6">
    <w:abstractNumId w:val="11"/>
  </w:num>
  <w:num w:numId="7">
    <w:abstractNumId w:val="26"/>
  </w:num>
  <w:num w:numId="8">
    <w:abstractNumId w:val="22"/>
  </w:num>
  <w:num w:numId="9">
    <w:abstractNumId w:val="17"/>
  </w:num>
  <w:num w:numId="10">
    <w:abstractNumId w:val="9"/>
  </w:num>
  <w:num w:numId="11">
    <w:abstractNumId w:val="28"/>
  </w:num>
  <w:num w:numId="12">
    <w:abstractNumId w:val="25"/>
  </w:num>
  <w:num w:numId="13">
    <w:abstractNumId w:val="20"/>
  </w:num>
  <w:num w:numId="14">
    <w:abstractNumId w:val="16"/>
  </w:num>
  <w:num w:numId="15">
    <w:abstractNumId w:val="29"/>
  </w:num>
  <w:num w:numId="16">
    <w:abstractNumId w:val="7"/>
  </w:num>
  <w:num w:numId="17">
    <w:abstractNumId w:val="24"/>
  </w:num>
  <w:num w:numId="18">
    <w:abstractNumId w:val="19"/>
  </w:num>
  <w:num w:numId="19">
    <w:abstractNumId w:val="21"/>
  </w:num>
  <w:num w:numId="20">
    <w:abstractNumId w:val="15"/>
  </w:num>
  <w:num w:numId="21">
    <w:abstractNumId w:val="12"/>
  </w:num>
  <w:num w:numId="22">
    <w:abstractNumId w:val="10"/>
  </w:num>
  <w:num w:numId="23">
    <w:abstractNumId w:val="2"/>
  </w:num>
  <w:num w:numId="24">
    <w:abstractNumId w:val="27"/>
  </w:num>
  <w:num w:numId="25">
    <w:abstractNumId w:val="1"/>
  </w:num>
  <w:num w:numId="26">
    <w:abstractNumId w:val="0"/>
  </w:num>
  <w:num w:numId="27">
    <w:abstractNumId w:val="6"/>
  </w:num>
  <w:num w:numId="28">
    <w:abstractNumId w:val="14"/>
  </w:num>
  <w:num w:numId="29">
    <w:abstractNumId w:val="23"/>
  </w:num>
  <w:num w:numId="30">
    <w:abstractNumId w:val="5"/>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2F4C"/>
    <w:rsid w:val="00010EB9"/>
    <w:rsid w:val="00030642"/>
    <w:rsid w:val="00046FD0"/>
    <w:rsid w:val="0006049F"/>
    <w:rsid w:val="00062F4C"/>
    <w:rsid w:val="000739EA"/>
    <w:rsid w:val="000921F4"/>
    <w:rsid w:val="000C7755"/>
    <w:rsid w:val="000D25AB"/>
    <w:rsid w:val="000F199F"/>
    <w:rsid w:val="000F3B3E"/>
    <w:rsid w:val="00126B8A"/>
    <w:rsid w:val="001270AF"/>
    <w:rsid w:val="00165AD7"/>
    <w:rsid w:val="00190FD3"/>
    <w:rsid w:val="0019387F"/>
    <w:rsid w:val="00193E14"/>
    <w:rsid w:val="00195811"/>
    <w:rsid w:val="001B0389"/>
    <w:rsid w:val="001B6998"/>
    <w:rsid w:val="00260225"/>
    <w:rsid w:val="002B0D81"/>
    <w:rsid w:val="002C37DC"/>
    <w:rsid w:val="002E61BD"/>
    <w:rsid w:val="0031068E"/>
    <w:rsid w:val="003433BC"/>
    <w:rsid w:val="0037263B"/>
    <w:rsid w:val="00393071"/>
    <w:rsid w:val="00396367"/>
    <w:rsid w:val="003A2AFB"/>
    <w:rsid w:val="003F509C"/>
    <w:rsid w:val="0040560B"/>
    <w:rsid w:val="00411361"/>
    <w:rsid w:val="00432608"/>
    <w:rsid w:val="0043312F"/>
    <w:rsid w:val="00460706"/>
    <w:rsid w:val="0046692D"/>
    <w:rsid w:val="00485E50"/>
    <w:rsid w:val="004B4DF5"/>
    <w:rsid w:val="004D0672"/>
    <w:rsid w:val="004E4033"/>
    <w:rsid w:val="004E4ACB"/>
    <w:rsid w:val="00544CA4"/>
    <w:rsid w:val="0057298B"/>
    <w:rsid w:val="00577795"/>
    <w:rsid w:val="005909F1"/>
    <w:rsid w:val="00605A3D"/>
    <w:rsid w:val="00606212"/>
    <w:rsid w:val="006069E6"/>
    <w:rsid w:val="00632733"/>
    <w:rsid w:val="00657880"/>
    <w:rsid w:val="006A1E28"/>
    <w:rsid w:val="006B3453"/>
    <w:rsid w:val="006C59F2"/>
    <w:rsid w:val="006E074F"/>
    <w:rsid w:val="006F3BB9"/>
    <w:rsid w:val="00701410"/>
    <w:rsid w:val="00725B3E"/>
    <w:rsid w:val="007303C2"/>
    <w:rsid w:val="00743D07"/>
    <w:rsid w:val="00744A32"/>
    <w:rsid w:val="00760256"/>
    <w:rsid w:val="00777385"/>
    <w:rsid w:val="00786EBE"/>
    <w:rsid w:val="007C56A4"/>
    <w:rsid w:val="007D19A5"/>
    <w:rsid w:val="007D48C6"/>
    <w:rsid w:val="007E76C9"/>
    <w:rsid w:val="0080774A"/>
    <w:rsid w:val="00807EB1"/>
    <w:rsid w:val="008108C5"/>
    <w:rsid w:val="00817FB7"/>
    <w:rsid w:val="008221B1"/>
    <w:rsid w:val="0082438E"/>
    <w:rsid w:val="00825D58"/>
    <w:rsid w:val="00873F75"/>
    <w:rsid w:val="00880A8E"/>
    <w:rsid w:val="008822AE"/>
    <w:rsid w:val="008A14C8"/>
    <w:rsid w:val="008A4BC4"/>
    <w:rsid w:val="008C19EC"/>
    <w:rsid w:val="008E786B"/>
    <w:rsid w:val="008F0A10"/>
    <w:rsid w:val="00962251"/>
    <w:rsid w:val="00967E2C"/>
    <w:rsid w:val="009756E0"/>
    <w:rsid w:val="009868F2"/>
    <w:rsid w:val="009E7EEC"/>
    <w:rsid w:val="009F4725"/>
    <w:rsid w:val="009F5705"/>
    <w:rsid w:val="00A22C6E"/>
    <w:rsid w:val="00A44058"/>
    <w:rsid w:val="00A4748B"/>
    <w:rsid w:val="00A57338"/>
    <w:rsid w:val="00A72359"/>
    <w:rsid w:val="00A753DE"/>
    <w:rsid w:val="00A83D8E"/>
    <w:rsid w:val="00A908BD"/>
    <w:rsid w:val="00A949E1"/>
    <w:rsid w:val="00AA71F3"/>
    <w:rsid w:val="00AB3836"/>
    <w:rsid w:val="00AE44DA"/>
    <w:rsid w:val="00B12583"/>
    <w:rsid w:val="00B340D9"/>
    <w:rsid w:val="00B34FF8"/>
    <w:rsid w:val="00B37FB9"/>
    <w:rsid w:val="00B41848"/>
    <w:rsid w:val="00B54A5A"/>
    <w:rsid w:val="00B67158"/>
    <w:rsid w:val="00B7482A"/>
    <w:rsid w:val="00B7786F"/>
    <w:rsid w:val="00BB0DA9"/>
    <w:rsid w:val="00BC6883"/>
    <w:rsid w:val="00BE3A5B"/>
    <w:rsid w:val="00C12A1C"/>
    <w:rsid w:val="00C14652"/>
    <w:rsid w:val="00C30388"/>
    <w:rsid w:val="00C33106"/>
    <w:rsid w:val="00C71F77"/>
    <w:rsid w:val="00C81C2D"/>
    <w:rsid w:val="00C87315"/>
    <w:rsid w:val="00C935E2"/>
    <w:rsid w:val="00CF1DA9"/>
    <w:rsid w:val="00CF3308"/>
    <w:rsid w:val="00D01CD0"/>
    <w:rsid w:val="00D04B9A"/>
    <w:rsid w:val="00D11B6C"/>
    <w:rsid w:val="00D345CE"/>
    <w:rsid w:val="00D35452"/>
    <w:rsid w:val="00D35678"/>
    <w:rsid w:val="00D43FE4"/>
    <w:rsid w:val="00D46D88"/>
    <w:rsid w:val="00D641E9"/>
    <w:rsid w:val="00DA043F"/>
    <w:rsid w:val="00DA30D1"/>
    <w:rsid w:val="00DB4428"/>
    <w:rsid w:val="00DB6834"/>
    <w:rsid w:val="00E02067"/>
    <w:rsid w:val="00E05089"/>
    <w:rsid w:val="00E1363C"/>
    <w:rsid w:val="00E14AA1"/>
    <w:rsid w:val="00E405E4"/>
    <w:rsid w:val="00E47AB9"/>
    <w:rsid w:val="00E643E2"/>
    <w:rsid w:val="00E769B2"/>
    <w:rsid w:val="00EB512F"/>
    <w:rsid w:val="00EE0626"/>
    <w:rsid w:val="00F01ECF"/>
    <w:rsid w:val="00F17B52"/>
    <w:rsid w:val="00F33327"/>
    <w:rsid w:val="00F47621"/>
    <w:rsid w:val="00F55C52"/>
    <w:rsid w:val="00F74FB2"/>
    <w:rsid w:val="00FB3C4A"/>
    <w:rsid w:val="00FE5328"/>
    <w:rsid w:val="00FE7F27"/>
    <w:rsid w:val="00FF466E"/>
    <w:rsid w:val="394ABF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2B6906B7-995B-4FB3-8C06-331BEAB9D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character" w:styleId="CommentReference">
    <w:name w:val="annotation reference"/>
    <w:basedOn w:val="DefaultParagraphFont"/>
    <w:uiPriority w:val="99"/>
    <w:semiHidden/>
    <w:unhideWhenUsed/>
    <w:rsid w:val="00725B3E"/>
    <w:rPr>
      <w:sz w:val="16"/>
      <w:szCs w:val="16"/>
    </w:rPr>
  </w:style>
  <w:style w:type="paragraph" w:styleId="CommentText">
    <w:name w:val="annotation text"/>
    <w:basedOn w:val="Normal"/>
    <w:link w:val="CommentTextChar"/>
    <w:uiPriority w:val="99"/>
    <w:semiHidden/>
    <w:unhideWhenUsed/>
    <w:rsid w:val="00725B3E"/>
    <w:pPr>
      <w:spacing w:line="240" w:lineRule="auto"/>
    </w:pPr>
    <w:rPr>
      <w:sz w:val="20"/>
      <w:szCs w:val="20"/>
    </w:rPr>
  </w:style>
  <w:style w:type="character" w:customStyle="1" w:styleId="CommentTextChar">
    <w:name w:val="Comment Text Char"/>
    <w:basedOn w:val="DefaultParagraphFont"/>
    <w:link w:val="CommentText"/>
    <w:uiPriority w:val="99"/>
    <w:semiHidden/>
    <w:rsid w:val="00725B3E"/>
    <w:rPr>
      <w:sz w:val="20"/>
      <w:szCs w:val="20"/>
    </w:rPr>
  </w:style>
  <w:style w:type="paragraph" w:styleId="CommentSubject">
    <w:name w:val="annotation subject"/>
    <w:basedOn w:val="CommentText"/>
    <w:next w:val="CommentText"/>
    <w:link w:val="CommentSubjectChar"/>
    <w:uiPriority w:val="99"/>
    <w:semiHidden/>
    <w:unhideWhenUsed/>
    <w:rsid w:val="00725B3E"/>
    <w:rPr>
      <w:b/>
      <w:bCs/>
    </w:rPr>
  </w:style>
  <w:style w:type="character" w:customStyle="1" w:styleId="CommentSubjectChar">
    <w:name w:val="Comment Subject Char"/>
    <w:basedOn w:val="CommentTextChar"/>
    <w:link w:val="CommentSubject"/>
    <w:uiPriority w:val="99"/>
    <w:semiHidden/>
    <w:rsid w:val="00725B3E"/>
    <w:rPr>
      <w:b/>
      <w:bCs/>
      <w:sz w:val="20"/>
      <w:szCs w:val="20"/>
    </w:rPr>
  </w:style>
  <w:style w:type="paragraph" w:styleId="BalloonText">
    <w:name w:val="Balloon Text"/>
    <w:basedOn w:val="Normal"/>
    <w:link w:val="BalloonTextChar"/>
    <w:uiPriority w:val="99"/>
    <w:semiHidden/>
    <w:unhideWhenUsed/>
    <w:rsid w:val="00725B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5B3E"/>
    <w:rPr>
      <w:rFonts w:ascii="Segoe UI" w:hAnsi="Segoe UI" w:cs="Segoe UI"/>
      <w:sz w:val="18"/>
      <w:szCs w:val="18"/>
    </w:rPr>
  </w:style>
  <w:style w:type="paragraph" w:styleId="Revision">
    <w:name w:val="Revision"/>
    <w:hidden/>
    <w:uiPriority w:val="99"/>
    <w:semiHidden/>
    <w:rsid w:val="009F5705"/>
    <w:pPr>
      <w:spacing w:after="0" w:line="240" w:lineRule="auto"/>
    </w:pPr>
  </w:style>
  <w:style w:type="paragraph" w:styleId="NormalWeb">
    <w:name w:val="Normal (Web)"/>
    <w:basedOn w:val="Normal"/>
    <w:uiPriority w:val="99"/>
    <w:semiHidden/>
    <w:unhideWhenUsed/>
    <w:rsid w:val="00D11B6C"/>
    <w:pPr>
      <w:spacing w:before="100" w:beforeAutospacing="1" w:after="100" w:afterAutospacing="1" w:line="240" w:lineRule="auto"/>
    </w:pPr>
    <w:rPr>
      <w:rFonts w:ascii="Times New Roman" w:eastAsiaTheme="minorEastAsia" w:hAnsi="Times New Roman" w:cs="Times New Roman"/>
      <w:sz w:val="24"/>
      <w:szCs w:val="24"/>
    </w:rPr>
  </w:style>
  <w:style w:type="paragraph" w:styleId="FootnoteText">
    <w:name w:val="footnote text"/>
    <w:basedOn w:val="Normal"/>
    <w:link w:val="FootnoteTextChar"/>
    <w:uiPriority w:val="99"/>
    <w:semiHidden/>
    <w:unhideWhenUsed/>
    <w:rsid w:val="00807EB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07EB1"/>
    <w:rPr>
      <w:sz w:val="20"/>
      <w:szCs w:val="20"/>
    </w:rPr>
  </w:style>
  <w:style w:type="character" w:styleId="FootnoteReference">
    <w:name w:val="footnote reference"/>
    <w:basedOn w:val="DefaultParagraphFont"/>
    <w:uiPriority w:val="99"/>
    <w:semiHidden/>
    <w:unhideWhenUsed/>
    <w:rsid w:val="00807EB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624513">
      <w:bodyDiv w:val="1"/>
      <w:marLeft w:val="0"/>
      <w:marRight w:val="0"/>
      <w:marTop w:val="0"/>
      <w:marBottom w:val="0"/>
      <w:divBdr>
        <w:top w:val="none" w:sz="0" w:space="0" w:color="auto"/>
        <w:left w:val="none" w:sz="0" w:space="0" w:color="auto"/>
        <w:bottom w:val="none" w:sz="0" w:space="0" w:color="auto"/>
        <w:right w:val="none" w:sz="0" w:space="0" w:color="auto"/>
      </w:divBdr>
    </w:div>
    <w:div w:id="165362307">
      <w:bodyDiv w:val="1"/>
      <w:marLeft w:val="0"/>
      <w:marRight w:val="0"/>
      <w:marTop w:val="0"/>
      <w:marBottom w:val="0"/>
      <w:divBdr>
        <w:top w:val="none" w:sz="0" w:space="0" w:color="auto"/>
        <w:left w:val="none" w:sz="0" w:space="0" w:color="auto"/>
        <w:bottom w:val="none" w:sz="0" w:space="0" w:color="auto"/>
        <w:right w:val="none" w:sz="0" w:space="0" w:color="auto"/>
      </w:divBdr>
      <w:divsChild>
        <w:div w:id="1321233275">
          <w:marLeft w:val="1166"/>
          <w:marRight w:val="0"/>
          <w:marTop w:val="106"/>
          <w:marBottom w:val="0"/>
          <w:divBdr>
            <w:top w:val="none" w:sz="0" w:space="0" w:color="auto"/>
            <w:left w:val="none" w:sz="0" w:space="0" w:color="auto"/>
            <w:bottom w:val="none" w:sz="0" w:space="0" w:color="auto"/>
            <w:right w:val="none" w:sz="0" w:space="0" w:color="auto"/>
          </w:divBdr>
        </w:div>
        <w:div w:id="111436310">
          <w:marLeft w:val="1800"/>
          <w:marRight w:val="0"/>
          <w:marTop w:val="106"/>
          <w:marBottom w:val="0"/>
          <w:divBdr>
            <w:top w:val="none" w:sz="0" w:space="0" w:color="auto"/>
            <w:left w:val="none" w:sz="0" w:space="0" w:color="auto"/>
            <w:bottom w:val="none" w:sz="0" w:space="0" w:color="auto"/>
            <w:right w:val="none" w:sz="0" w:space="0" w:color="auto"/>
          </w:divBdr>
        </w:div>
        <w:div w:id="1820152958">
          <w:marLeft w:val="1800"/>
          <w:marRight w:val="0"/>
          <w:marTop w:val="106"/>
          <w:marBottom w:val="0"/>
          <w:divBdr>
            <w:top w:val="none" w:sz="0" w:space="0" w:color="auto"/>
            <w:left w:val="none" w:sz="0" w:space="0" w:color="auto"/>
            <w:bottom w:val="none" w:sz="0" w:space="0" w:color="auto"/>
            <w:right w:val="none" w:sz="0" w:space="0" w:color="auto"/>
          </w:divBdr>
        </w:div>
      </w:divsChild>
    </w:div>
    <w:div w:id="314728626">
      <w:bodyDiv w:val="1"/>
      <w:marLeft w:val="0"/>
      <w:marRight w:val="0"/>
      <w:marTop w:val="0"/>
      <w:marBottom w:val="0"/>
      <w:divBdr>
        <w:top w:val="none" w:sz="0" w:space="0" w:color="auto"/>
        <w:left w:val="none" w:sz="0" w:space="0" w:color="auto"/>
        <w:bottom w:val="none" w:sz="0" w:space="0" w:color="auto"/>
        <w:right w:val="none" w:sz="0" w:space="0" w:color="auto"/>
      </w:divBdr>
      <w:divsChild>
        <w:div w:id="1376466724">
          <w:marLeft w:val="1166"/>
          <w:marRight w:val="0"/>
          <w:marTop w:val="106"/>
          <w:marBottom w:val="0"/>
          <w:divBdr>
            <w:top w:val="none" w:sz="0" w:space="0" w:color="auto"/>
            <w:left w:val="none" w:sz="0" w:space="0" w:color="auto"/>
            <w:bottom w:val="none" w:sz="0" w:space="0" w:color="auto"/>
            <w:right w:val="none" w:sz="0" w:space="0" w:color="auto"/>
          </w:divBdr>
        </w:div>
        <w:div w:id="1146893576">
          <w:marLeft w:val="1800"/>
          <w:marRight w:val="0"/>
          <w:marTop w:val="106"/>
          <w:marBottom w:val="0"/>
          <w:divBdr>
            <w:top w:val="none" w:sz="0" w:space="0" w:color="auto"/>
            <w:left w:val="none" w:sz="0" w:space="0" w:color="auto"/>
            <w:bottom w:val="none" w:sz="0" w:space="0" w:color="auto"/>
            <w:right w:val="none" w:sz="0" w:space="0" w:color="auto"/>
          </w:divBdr>
        </w:div>
        <w:div w:id="319621635">
          <w:marLeft w:val="1800"/>
          <w:marRight w:val="0"/>
          <w:marTop w:val="106"/>
          <w:marBottom w:val="0"/>
          <w:divBdr>
            <w:top w:val="none" w:sz="0" w:space="0" w:color="auto"/>
            <w:left w:val="none" w:sz="0" w:space="0" w:color="auto"/>
            <w:bottom w:val="none" w:sz="0" w:space="0" w:color="auto"/>
            <w:right w:val="none" w:sz="0" w:space="0" w:color="auto"/>
          </w:divBdr>
        </w:div>
      </w:divsChild>
    </w:div>
    <w:div w:id="588319024">
      <w:bodyDiv w:val="1"/>
      <w:marLeft w:val="0"/>
      <w:marRight w:val="0"/>
      <w:marTop w:val="0"/>
      <w:marBottom w:val="0"/>
      <w:divBdr>
        <w:top w:val="none" w:sz="0" w:space="0" w:color="auto"/>
        <w:left w:val="none" w:sz="0" w:space="0" w:color="auto"/>
        <w:bottom w:val="none" w:sz="0" w:space="0" w:color="auto"/>
        <w:right w:val="none" w:sz="0" w:space="0" w:color="auto"/>
      </w:divBdr>
      <w:divsChild>
        <w:div w:id="1841967335">
          <w:marLeft w:val="1166"/>
          <w:marRight w:val="0"/>
          <w:marTop w:val="134"/>
          <w:marBottom w:val="0"/>
          <w:divBdr>
            <w:top w:val="none" w:sz="0" w:space="0" w:color="auto"/>
            <w:left w:val="none" w:sz="0" w:space="0" w:color="auto"/>
            <w:bottom w:val="none" w:sz="0" w:space="0" w:color="auto"/>
            <w:right w:val="none" w:sz="0" w:space="0" w:color="auto"/>
          </w:divBdr>
        </w:div>
      </w:divsChild>
    </w:div>
    <w:div w:id="742139412">
      <w:bodyDiv w:val="1"/>
      <w:marLeft w:val="0"/>
      <w:marRight w:val="0"/>
      <w:marTop w:val="0"/>
      <w:marBottom w:val="0"/>
      <w:divBdr>
        <w:top w:val="none" w:sz="0" w:space="0" w:color="auto"/>
        <w:left w:val="none" w:sz="0" w:space="0" w:color="auto"/>
        <w:bottom w:val="none" w:sz="0" w:space="0" w:color="auto"/>
        <w:right w:val="none" w:sz="0" w:space="0" w:color="auto"/>
      </w:divBdr>
      <w:divsChild>
        <w:div w:id="1415472601">
          <w:marLeft w:val="547"/>
          <w:marRight w:val="0"/>
          <w:marTop w:val="96"/>
          <w:marBottom w:val="0"/>
          <w:divBdr>
            <w:top w:val="none" w:sz="0" w:space="0" w:color="auto"/>
            <w:left w:val="none" w:sz="0" w:space="0" w:color="auto"/>
            <w:bottom w:val="none" w:sz="0" w:space="0" w:color="auto"/>
            <w:right w:val="none" w:sz="0" w:space="0" w:color="auto"/>
          </w:divBdr>
        </w:div>
        <w:div w:id="1280645840">
          <w:marLeft w:val="547"/>
          <w:marRight w:val="0"/>
          <w:marTop w:val="96"/>
          <w:marBottom w:val="0"/>
          <w:divBdr>
            <w:top w:val="none" w:sz="0" w:space="0" w:color="auto"/>
            <w:left w:val="none" w:sz="0" w:space="0" w:color="auto"/>
            <w:bottom w:val="none" w:sz="0" w:space="0" w:color="auto"/>
            <w:right w:val="none" w:sz="0" w:space="0" w:color="auto"/>
          </w:divBdr>
        </w:div>
        <w:div w:id="717364950">
          <w:marLeft w:val="1354"/>
          <w:marRight w:val="0"/>
          <w:marTop w:val="77"/>
          <w:marBottom w:val="0"/>
          <w:divBdr>
            <w:top w:val="none" w:sz="0" w:space="0" w:color="auto"/>
            <w:left w:val="none" w:sz="0" w:space="0" w:color="auto"/>
            <w:bottom w:val="none" w:sz="0" w:space="0" w:color="auto"/>
            <w:right w:val="none" w:sz="0" w:space="0" w:color="auto"/>
          </w:divBdr>
        </w:div>
        <w:div w:id="421874551">
          <w:marLeft w:val="1354"/>
          <w:marRight w:val="0"/>
          <w:marTop w:val="77"/>
          <w:marBottom w:val="0"/>
          <w:divBdr>
            <w:top w:val="none" w:sz="0" w:space="0" w:color="auto"/>
            <w:left w:val="none" w:sz="0" w:space="0" w:color="auto"/>
            <w:bottom w:val="none" w:sz="0" w:space="0" w:color="auto"/>
            <w:right w:val="none" w:sz="0" w:space="0" w:color="auto"/>
          </w:divBdr>
        </w:div>
        <w:div w:id="141699369">
          <w:marLeft w:val="1354"/>
          <w:marRight w:val="0"/>
          <w:marTop w:val="77"/>
          <w:marBottom w:val="0"/>
          <w:divBdr>
            <w:top w:val="none" w:sz="0" w:space="0" w:color="auto"/>
            <w:left w:val="none" w:sz="0" w:space="0" w:color="auto"/>
            <w:bottom w:val="none" w:sz="0" w:space="0" w:color="auto"/>
            <w:right w:val="none" w:sz="0" w:space="0" w:color="auto"/>
          </w:divBdr>
        </w:div>
        <w:div w:id="790320710">
          <w:marLeft w:val="720"/>
          <w:marRight w:val="0"/>
          <w:marTop w:val="96"/>
          <w:marBottom w:val="0"/>
          <w:divBdr>
            <w:top w:val="none" w:sz="0" w:space="0" w:color="auto"/>
            <w:left w:val="none" w:sz="0" w:space="0" w:color="auto"/>
            <w:bottom w:val="none" w:sz="0" w:space="0" w:color="auto"/>
            <w:right w:val="none" w:sz="0" w:space="0" w:color="auto"/>
          </w:divBdr>
        </w:div>
        <w:div w:id="1472671610">
          <w:marLeft w:val="547"/>
          <w:marRight w:val="0"/>
          <w:marTop w:val="96"/>
          <w:marBottom w:val="0"/>
          <w:divBdr>
            <w:top w:val="none" w:sz="0" w:space="0" w:color="auto"/>
            <w:left w:val="none" w:sz="0" w:space="0" w:color="auto"/>
            <w:bottom w:val="none" w:sz="0" w:space="0" w:color="auto"/>
            <w:right w:val="none" w:sz="0" w:space="0" w:color="auto"/>
          </w:divBdr>
        </w:div>
        <w:div w:id="89471899">
          <w:marLeft w:val="547"/>
          <w:marRight w:val="0"/>
          <w:marTop w:val="96"/>
          <w:marBottom w:val="0"/>
          <w:divBdr>
            <w:top w:val="none" w:sz="0" w:space="0" w:color="auto"/>
            <w:left w:val="none" w:sz="0" w:space="0" w:color="auto"/>
            <w:bottom w:val="none" w:sz="0" w:space="0" w:color="auto"/>
            <w:right w:val="none" w:sz="0" w:space="0" w:color="auto"/>
          </w:divBdr>
        </w:div>
        <w:div w:id="941717574">
          <w:marLeft w:val="547"/>
          <w:marRight w:val="0"/>
          <w:marTop w:val="96"/>
          <w:marBottom w:val="0"/>
          <w:divBdr>
            <w:top w:val="none" w:sz="0" w:space="0" w:color="auto"/>
            <w:left w:val="none" w:sz="0" w:space="0" w:color="auto"/>
            <w:bottom w:val="none" w:sz="0" w:space="0" w:color="auto"/>
            <w:right w:val="none" w:sz="0" w:space="0" w:color="auto"/>
          </w:divBdr>
        </w:div>
        <w:div w:id="377172564">
          <w:marLeft w:val="547"/>
          <w:marRight w:val="0"/>
          <w:marTop w:val="96"/>
          <w:marBottom w:val="0"/>
          <w:divBdr>
            <w:top w:val="none" w:sz="0" w:space="0" w:color="auto"/>
            <w:left w:val="none" w:sz="0" w:space="0" w:color="auto"/>
            <w:bottom w:val="none" w:sz="0" w:space="0" w:color="auto"/>
            <w:right w:val="none" w:sz="0" w:space="0" w:color="auto"/>
          </w:divBdr>
        </w:div>
        <w:div w:id="1247615226">
          <w:marLeft w:val="547"/>
          <w:marRight w:val="0"/>
          <w:marTop w:val="96"/>
          <w:marBottom w:val="0"/>
          <w:divBdr>
            <w:top w:val="none" w:sz="0" w:space="0" w:color="auto"/>
            <w:left w:val="none" w:sz="0" w:space="0" w:color="auto"/>
            <w:bottom w:val="none" w:sz="0" w:space="0" w:color="auto"/>
            <w:right w:val="none" w:sz="0" w:space="0" w:color="auto"/>
          </w:divBdr>
        </w:div>
      </w:divsChild>
    </w:div>
    <w:div w:id="889534296">
      <w:bodyDiv w:val="1"/>
      <w:marLeft w:val="0"/>
      <w:marRight w:val="0"/>
      <w:marTop w:val="0"/>
      <w:marBottom w:val="0"/>
      <w:divBdr>
        <w:top w:val="none" w:sz="0" w:space="0" w:color="auto"/>
        <w:left w:val="none" w:sz="0" w:space="0" w:color="auto"/>
        <w:bottom w:val="none" w:sz="0" w:space="0" w:color="auto"/>
        <w:right w:val="none" w:sz="0" w:space="0" w:color="auto"/>
      </w:divBdr>
      <w:divsChild>
        <w:div w:id="1666854813">
          <w:marLeft w:val="1800"/>
          <w:marRight w:val="0"/>
          <w:marTop w:val="106"/>
          <w:marBottom w:val="0"/>
          <w:divBdr>
            <w:top w:val="none" w:sz="0" w:space="0" w:color="auto"/>
            <w:left w:val="none" w:sz="0" w:space="0" w:color="auto"/>
            <w:bottom w:val="none" w:sz="0" w:space="0" w:color="auto"/>
            <w:right w:val="none" w:sz="0" w:space="0" w:color="auto"/>
          </w:divBdr>
        </w:div>
      </w:divsChild>
    </w:div>
    <w:div w:id="972371981">
      <w:bodyDiv w:val="1"/>
      <w:marLeft w:val="0"/>
      <w:marRight w:val="0"/>
      <w:marTop w:val="0"/>
      <w:marBottom w:val="0"/>
      <w:divBdr>
        <w:top w:val="none" w:sz="0" w:space="0" w:color="auto"/>
        <w:left w:val="none" w:sz="0" w:space="0" w:color="auto"/>
        <w:bottom w:val="none" w:sz="0" w:space="0" w:color="auto"/>
        <w:right w:val="none" w:sz="0" w:space="0" w:color="auto"/>
      </w:divBdr>
    </w:div>
    <w:div w:id="1098670440">
      <w:bodyDiv w:val="1"/>
      <w:marLeft w:val="0"/>
      <w:marRight w:val="0"/>
      <w:marTop w:val="0"/>
      <w:marBottom w:val="0"/>
      <w:divBdr>
        <w:top w:val="none" w:sz="0" w:space="0" w:color="auto"/>
        <w:left w:val="none" w:sz="0" w:space="0" w:color="auto"/>
        <w:bottom w:val="none" w:sz="0" w:space="0" w:color="auto"/>
        <w:right w:val="none" w:sz="0" w:space="0" w:color="auto"/>
      </w:divBdr>
      <w:divsChild>
        <w:div w:id="1154369082">
          <w:marLeft w:val="1166"/>
          <w:marRight w:val="0"/>
          <w:marTop w:val="86"/>
          <w:marBottom w:val="0"/>
          <w:divBdr>
            <w:top w:val="none" w:sz="0" w:space="0" w:color="auto"/>
            <w:left w:val="none" w:sz="0" w:space="0" w:color="auto"/>
            <w:bottom w:val="none" w:sz="0" w:space="0" w:color="auto"/>
            <w:right w:val="none" w:sz="0" w:space="0" w:color="auto"/>
          </w:divBdr>
        </w:div>
        <w:div w:id="324550241">
          <w:marLeft w:val="1800"/>
          <w:marRight w:val="0"/>
          <w:marTop w:val="86"/>
          <w:marBottom w:val="0"/>
          <w:divBdr>
            <w:top w:val="none" w:sz="0" w:space="0" w:color="auto"/>
            <w:left w:val="none" w:sz="0" w:space="0" w:color="auto"/>
            <w:bottom w:val="none" w:sz="0" w:space="0" w:color="auto"/>
            <w:right w:val="none" w:sz="0" w:space="0" w:color="auto"/>
          </w:divBdr>
        </w:div>
        <w:div w:id="514659239">
          <w:marLeft w:val="1800"/>
          <w:marRight w:val="0"/>
          <w:marTop w:val="86"/>
          <w:marBottom w:val="0"/>
          <w:divBdr>
            <w:top w:val="none" w:sz="0" w:space="0" w:color="auto"/>
            <w:left w:val="none" w:sz="0" w:space="0" w:color="auto"/>
            <w:bottom w:val="none" w:sz="0" w:space="0" w:color="auto"/>
            <w:right w:val="none" w:sz="0" w:space="0" w:color="auto"/>
          </w:divBdr>
        </w:div>
        <w:div w:id="658536958">
          <w:marLeft w:val="1800"/>
          <w:marRight w:val="0"/>
          <w:marTop w:val="86"/>
          <w:marBottom w:val="0"/>
          <w:divBdr>
            <w:top w:val="none" w:sz="0" w:space="0" w:color="auto"/>
            <w:left w:val="none" w:sz="0" w:space="0" w:color="auto"/>
            <w:bottom w:val="none" w:sz="0" w:space="0" w:color="auto"/>
            <w:right w:val="none" w:sz="0" w:space="0" w:color="auto"/>
          </w:divBdr>
        </w:div>
        <w:div w:id="243491625">
          <w:marLeft w:val="1800"/>
          <w:marRight w:val="0"/>
          <w:marTop w:val="86"/>
          <w:marBottom w:val="0"/>
          <w:divBdr>
            <w:top w:val="none" w:sz="0" w:space="0" w:color="auto"/>
            <w:left w:val="none" w:sz="0" w:space="0" w:color="auto"/>
            <w:bottom w:val="none" w:sz="0" w:space="0" w:color="auto"/>
            <w:right w:val="none" w:sz="0" w:space="0" w:color="auto"/>
          </w:divBdr>
        </w:div>
      </w:divsChild>
    </w:div>
    <w:div w:id="1159226921">
      <w:bodyDiv w:val="1"/>
      <w:marLeft w:val="0"/>
      <w:marRight w:val="0"/>
      <w:marTop w:val="0"/>
      <w:marBottom w:val="0"/>
      <w:divBdr>
        <w:top w:val="none" w:sz="0" w:space="0" w:color="auto"/>
        <w:left w:val="none" w:sz="0" w:space="0" w:color="auto"/>
        <w:bottom w:val="none" w:sz="0" w:space="0" w:color="auto"/>
        <w:right w:val="none" w:sz="0" w:space="0" w:color="auto"/>
      </w:divBdr>
      <w:divsChild>
        <w:div w:id="593783033">
          <w:marLeft w:val="1166"/>
          <w:marRight w:val="0"/>
          <w:marTop w:val="134"/>
          <w:marBottom w:val="0"/>
          <w:divBdr>
            <w:top w:val="none" w:sz="0" w:space="0" w:color="auto"/>
            <w:left w:val="none" w:sz="0" w:space="0" w:color="auto"/>
            <w:bottom w:val="none" w:sz="0" w:space="0" w:color="auto"/>
            <w:right w:val="none" w:sz="0" w:space="0" w:color="auto"/>
          </w:divBdr>
        </w:div>
      </w:divsChild>
    </w:div>
    <w:div w:id="1434666343">
      <w:bodyDiv w:val="1"/>
      <w:marLeft w:val="0"/>
      <w:marRight w:val="0"/>
      <w:marTop w:val="0"/>
      <w:marBottom w:val="0"/>
      <w:divBdr>
        <w:top w:val="none" w:sz="0" w:space="0" w:color="auto"/>
        <w:left w:val="none" w:sz="0" w:space="0" w:color="auto"/>
        <w:bottom w:val="none" w:sz="0" w:space="0" w:color="auto"/>
        <w:right w:val="none" w:sz="0" w:space="0" w:color="auto"/>
      </w:divBdr>
      <w:divsChild>
        <w:div w:id="1358308024">
          <w:marLeft w:val="1166"/>
          <w:marRight w:val="0"/>
          <w:marTop w:val="96"/>
          <w:marBottom w:val="0"/>
          <w:divBdr>
            <w:top w:val="none" w:sz="0" w:space="0" w:color="auto"/>
            <w:left w:val="none" w:sz="0" w:space="0" w:color="auto"/>
            <w:bottom w:val="none" w:sz="0" w:space="0" w:color="auto"/>
            <w:right w:val="none" w:sz="0" w:space="0" w:color="auto"/>
          </w:divBdr>
        </w:div>
        <w:div w:id="786395037">
          <w:marLeft w:val="1166"/>
          <w:marRight w:val="0"/>
          <w:marTop w:val="96"/>
          <w:marBottom w:val="0"/>
          <w:divBdr>
            <w:top w:val="none" w:sz="0" w:space="0" w:color="auto"/>
            <w:left w:val="none" w:sz="0" w:space="0" w:color="auto"/>
            <w:bottom w:val="none" w:sz="0" w:space="0" w:color="auto"/>
            <w:right w:val="none" w:sz="0" w:space="0" w:color="auto"/>
          </w:divBdr>
        </w:div>
        <w:div w:id="46345982">
          <w:marLeft w:val="1800"/>
          <w:marRight w:val="0"/>
          <w:marTop w:val="96"/>
          <w:marBottom w:val="0"/>
          <w:divBdr>
            <w:top w:val="none" w:sz="0" w:space="0" w:color="auto"/>
            <w:left w:val="none" w:sz="0" w:space="0" w:color="auto"/>
            <w:bottom w:val="none" w:sz="0" w:space="0" w:color="auto"/>
            <w:right w:val="none" w:sz="0" w:space="0" w:color="auto"/>
          </w:divBdr>
        </w:div>
        <w:div w:id="1187254862">
          <w:marLeft w:val="1800"/>
          <w:marRight w:val="0"/>
          <w:marTop w:val="96"/>
          <w:marBottom w:val="0"/>
          <w:divBdr>
            <w:top w:val="none" w:sz="0" w:space="0" w:color="auto"/>
            <w:left w:val="none" w:sz="0" w:space="0" w:color="auto"/>
            <w:bottom w:val="none" w:sz="0" w:space="0" w:color="auto"/>
            <w:right w:val="none" w:sz="0" w:space="0" w:color="auto"/>
          </w:divBdr>
        </w:div>
        <w:div w:id="562446744">
          <w:marLeft w:val="2520"/>
          <w:marRight w:val="0"/>
          <w:marTop w:val="96"/>
          <w:marBottom w:val="0"/>
          <w:divBdr>
            <w:top w:val="none" w:sz="0" w:space="0" w:color="auto"/>
            <w:left w:val="none" w:sz="0" w:space="0" w:color="auto"/>
            <w:bottom w:val="none" w:sz="0" w:space="0" w:color="auto"/>
            <w:right w:val="none" w:sz="0" w:space="0" w:color="auto"/>
          </w:divBdr>
        </w:div>
        <w:div w:id="1199396518">
          <w:marLeft w:val="2520"/>
          <w:marRight w:val="0"/>
          <w:marTop w:val="96"/>
          <w:marBottom w:val="0"/>
          <w:divBdr>
            <w:top w:val="none" w:sz="0" w:space="0" w:color="auto"/>
            <w:left w:val="none" w:sz="0" w:space="0" w:color="auto"/>
            <w:bottom w:val="none" w:sz="0" w:space="0" w:color="auto"/>
            <w:right w:val="none" w:sz="0" w:space="0" w:color="auto"/>
          </w:divBdr>
        </w:div>
        <w:div w:id="316962893">
          <w:marLeft w:val="1800"/>
          <w:marRight w:val="0"/>
          <w:marTop w:val="96"/>
          <w:marBottom w:val="0"/>
          <w:divBdr>
            <w:top w:val="none" w:sz="0" w:space="0" w:color="auto"/>
            <w:left w:val="none" w:sz="0" w:space="0" w:color="auto"/>
            <w:bottom w:val="none" w:sz="0" w:space="0" w:color="auto"/>
            <w:right w:val="none" w:sz="0" w:space="0" w:color="auto"/>
          </w:divBdr>
        </w:div>
      </w:divsChild>
    </w:div>
    <w:div w:id="1860391408">
      <w:bodyDiv w:val="1"/>
      <w:marLeft w:val="0"/>
      <w:marRight w:val="0"/>
      <w:marTop w:val="0"/>
      <w:marBottom w:val="0"/>
      <w:divBdr>
        <w:top w:val="none" w:sz="0" w:space="0" w:color="auto"/>
        <w:left w:val="none" w:sz="0" w:space="0" w:color="auto"/>
        <w:bottom w:val="none" w:sz="0" w:space="0" w:color="auto"/>
        <w:right w:val="none" w:sz="0" w:space="0" w:color="auto"/>
      </w:divBdr>
      <w:divsChild>
        <w:div w:id="362026506">
          <w:marLeft w:val="1166"/>
          <w:marRight w:val="0"/>
          <w:marTop w:val="86"/>
          <w:marBottom w:val="0"/>
          <w:divBdr>
            <w:top w:val="none" w:sz="0" w:space="0" w:color="auto"/>
            <w:left w:val="none" w:sz="0" w:space="0" w:color="auto"/>
            <w:bottom w:val="none" w:sz="0" w:space="0" w:color="auto"/>
            <w:right w:val="none" w:sz="0" w:space="0" w:color="auto"/>
          </w:divBdr>
        </w:div>
        <w:div w:id="540675625">
          <w:marLeft w:val="1166"/>
          <w:marRight w:val="0"/>
          <w:marTop w:val="86"/>
          <w:marBottom w:val="0"/>
          <w:divBdr>
            <w:top w:val="none" w:sz="0" w:space="0" w:color="auto"/>
            <w:left w:val="none" w:sz="0" w:space="0" w:color="auto"/>
            <w:bottom w:val="none" w:sz="0" w:space="0" w:color="auto"/>
            <w:right w:val="none" w:sz="0" w:space="0" w:color="auto"/>
          </w:divBdr>
        </w:div>
        <w:div w:id="1526209908">
          <w:marLeft w:val="1166"/>
          <w:marRight w:val="0"/>
          <w:marTop w:val="86"/>
          <w:marBottom w:val="0"/>
          <w:divBdr>
            <w:top w:val="none" w:sz="0" w:space="0" w:color="auto"/>
            <w:left w:val="none" w:sz="0" w:space="0" w:color="auto"/>
            <w:bottom w:val="none" w:sz="0" w:space="0" w:color="auto"/>
            <w:right w:val="none" w:sz="0" w:space="0" w:color="auto"/>
          </w:divBdr>
        </w:div>
      </w:divsChild>
    </w:div>
    <w:div w:id="2040281712">
      <w:bodyDiv w:val="1"/>
      <w:marLeft w:val="0"/>
      <w:marRight w:val="0"/>
      <w:marTop w:val="0"/>
      <w:marBottom w:val="0"/>
      <w:divBdr>
        <w:top w:val="none" w:sz="0" w:space="0" w:color="auto"/>
        <w:left w:val="none" w:sz="0" w:space="0" w:color="auto"/>
        <w:bottom w:val="none" w:sz="0" w:space="0" w:color="auto"/>
        <w:right w:val="none" w:sz="0" w:space="0" w:color="auto"/>
      </w:divBdr>
      <w:divsChild>
        <w:div w:id="514660232">
          <w:marLeft w:val="1166"/>
          <w:marRight w:val="0"/>
          <w:marTop w:val="106"/>
          <w:marBottom w:val="0"/>
          <w:divBdr>
            <w:top w:val="none" w:sz="0" w:space="0" w:color="auto"/>
            <w:left w:val="none" w:sz="0" w:space="0" w:color="auto"/>
            <w:bottom w:val="none" w:sz="0" w:space="0" w:color="auto"/>
            <w:right w:val="none" w:sz="0" w:space="0" w:color="auto"/>
          </w:divBdr>
        </w:div>
        <w:div w:id="708526591">
          <w:marLeft w:val="1800"/>
          <w:marRight w:val="0"/>
          <w:marTop w:val="106"/>
          <w:marBottom w:val="0"/>
          <w:divBdr>
            <w:top w:val="none" w:sz="0" w:space="0" w:color="auto"/>
            <w:left w:val="none" w:sz="0" w:space="0" w:color="auto"/>
            <w:bottom w:val="none" w:sz="0" w:space="0" w:color="auto"/>
            <w:right w:val="none" w:sz="0" w:space="0" w:color="auto"/>
          </w:divBdr>
        </w:div>
        <w:div w:id="1538852490">
          <w:marLeft w:val="1800"/>
          <w:marRight w:val="0"/>
          <w:marTop w:val="106"/>
          <w:marBottom w:val="0"/>
          <w:divBdr>
            <w:top w:val="none" w:sz="0" w:space="0" w:color="auto"/>
            <w:left w:val="none" w:sz="0" w:space="0" w:color="auto"/>
            <w:bottom w:val="none" w:sz="0" w:space="0" w:color="auto"/>
            <w:right w:val="none" w:sz="0" w:space="0" w:color="auto"/>
          </w:divBdr>
        </w:div>
        <w:div w:id="1904288473">
          <w:marLeft w:val="1166"/>
          <w:marRight w:val="0"/>
          <w:marTop w:val="106"/>
          <w:marBottom w:val="0"/>
          <w:divBdr>
            <w:top w:val="none" w:sz="0" w:space="0" w:color="auto"/>
            <w:left w:val="none" w:sz="0" w:space="0" w:color="auto"/>
            <w:bottom w:val="none" w:sz="0" w:space="0" w:color="auto"/>
            <w:right w:val="none" w:sz="0" w:space="0" w:color="auto"/>
          </w:divBdr>
        </w:div>
        <w:div w:id="206067393">
          <w:marLeft w:val="1800"/>
          <w:marRight w:val="0"/>
          <w:marTop w:val="106"/>
          <w:marBottom w:val="0"/>
          <w:divBdr>
            <w:top w:val="none" w:sz="0" w:space="0" w:color="auto"/>
            <w:left w:val="none" w:sz="0" w:space="0" w:color="auto"/>
            <w:bottom w:val="none" w:sz="0" w:space="0" w:color="auto"/>
            <w:right w:val="none" w:sz="0" w:space="0" w:color="auto"/>
          </w:divBdr>
        </w:div>
        <w:div w:id="1505973641">
          <w:marLeft w:val="1800"/>
          <w:marRight w:val="0"/>
          <w:marTop w:val="106"/>
          <w:marBottom w:val="0"/>
          <w:divBdr>
            <w:top w:val="none" w:sz="0" w:space="0" w:color="auto"/>
            <w:left w:val="none" w:sz="0" w:space="0" w:color="auto"/>
            <w:bottom w:val="none" w:sz="0" w:space="0" w:color="auto"/>
            <w:right w:val="none" w:sz="0" w:space="0" w:color="auto"/>
          </w:divBdr>
        </w:div>
      </w:divsChild>
    </w:div>
    <w:div w:id="209866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chart" Target="charts/chart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3.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sempra-my.sharepoint.com/personal/jbick_semprautilities_com/Documents/User%20Folders/Desktop/Losses%20excel%20sheet.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sempra-my.sharepoint.com/personal/jbick_semprautilities_com/Documents/User%20Folders/Desktop/Losses%20excel%20sheet.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sempra-my.sharepoint.com/personal/jbick_semprautilities_com/Documents/User%20Folders/Desktop/Losses%20excel%20sheet.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6683561106585816E-2"/>
          <c:y val="9.5159462264282485E-2"/>
          <c:w val="0.8281997077951464"/>
          <c:h val="0.81276733906870291"/>
        </c:manualLayout>
      </c:layout>
      <c:lineChart>
        <c:grouping val="standard"/>
        <c:varyColors val="0"/>
        <c:ser>
          <c:idx val="0"/>
          <c:order val="0"/>
          <c:tx>
            <c:strRef>
              <c:f>Results!$E$3</c:f>
              <c:strCache>
                <c:ptCount val="1"/>
                <c:pt idx="0">
                  <c:v>System Average</c:v>
                </c:pt>
              </c:strCache>
            </c:strRef>
          </c:tx>
          <c:spPr>
            <a:ln w="28575" cap="rnd">
              <a:solidFill>
                <a:schemeClr val="accent1"/>
              </a:solidFill>
              <a:round/>
            </a:ln>
            <a:effectLst/>
          </c:spPr>
          <c:marker>
            <c:symbol val="none"/>
          </c:marker>
          <c:cat>
            <c:numRef>
              <c:f>Results!$A$4:$A$13</c:f>
              <c:numCache>
                <c:formatCode>0%</c:formatCode>
                <c:ptCount val="10"/>
                <c:pt idx="0">
                  <c:v>0.1</c:v>
                </c:pt>
                <c:pt idx="1">
                  <c:v>0.2</c:v>
                </c:pt>
                <c:pt idx="2">
                  <c:v>0.3</c:v>
                </c:pt>
                <c:pt idx="3">
                  <c:v>0.4</c:v>
                </c:pt>
                <c:pt idx="4">
                  <c:v>0.5</c:v>
                </c:pt>
                <c:pt idx="5">
                  <c:v>0.6</c:v>
                </c:pt>
                <c:pt idx="6">
                  <c:v>0.7</c:v>
                </c:pt>
                <c:pt idx="7">
                  <c:v>0.8</c:v>
                </c:pt>
                <c:pt idx="8">
                  <c:v>0.9</c:v>
                </c:pt>
                <c:pt idx="9">
                  <c:v>1</c:v>
                </c:pt>
              </c:numCache>
            </c:numRef>
          </c:cat>
          <c:val>
            <c:numRef>
              <c:f>Results!$E$4:$E$13</c:f>
              <c:numCache>
                <c:formatCode>0.0%</c:formatCode>
                <c:ptCount val="10"/>
                <c:pt idx="0">
                  <c:v>3.8577777777777764E-3</c:v>
                </c:pt>
                <c:pt idx="1">
                  <c:v>9.6658333333333336E-3</c:v>
                </c:pt>
                <c:pt idx="2">
                  <c:v>1.5500555555555559E-2</c:v>
                </c:pt>
                <c:pt idx="3">
                  <c:v>1.6996111111111111E-2</c:v>
                </c:pt>
                <c:pt idx="4">
                  <c:v>1.8685277777777776E-2</c:v>
                </c:pt>
                <c:pt idx="5">
                  <c:v>1.9253611111111114E-2</c:v>
                </c:pt>
                <c:pt idx="6">
                  <c:v>1.9478611111111113E-2</c:v>
                </c:pt>
                <c:pt idx="7">
                  <c:v>1.9501666666666664E-2</c:v>
                </c:pt>
                <c:pt idx="8">
                  <c:v>1.8993611111111114E-2</c:v>
                </c:pt>
                <c:pt idx="9">
                  <c:v>1.7766111111111111E-2</c:v>
                </c:pt>
              </c:numCache>
            </c:numRef>
          </c:val>
          <c:smooth val="0"/>
          <c:extLst xmlns:c16r2="http://schemas.microsoft.com/office/drawing/2015/06/chart">
            <c:ext xmlns:c16="http://schemas.microsoft.com/office/drawing/2014/chart" uri="{C3380CC4-5D6E-409C-BE32-E72D297353CC}">
              <c16:uniqueId val="{00000000-58DB-421F-8996-A681480A67BF}"/>
            </c:ext>
          </c:extLst>
        </c:ser>
        <c:dLbls>
          <c:showLegendKey val="0"/>
          <c:showVal val="0"/>
          <c:showCatName val="0"/>
          <c:showSerName val="0"/>
          <c:showPercent val="0"/>
          <c:showBubbleSize val="0"/>
        </c:dLbls>
        <c:smooth val="0"/>
        <c:axId val="402003024"/>
        <c:axId val="402003416"/>
      </c:lineChart>
      <c:catAx>
        <c:axId val="402003024"/>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003416"/>
        <c:crosses val="autoZero"/>
        <c:auto val="1"/>
        <c:lblAlgn val="ctr"/>
        <c:lblOffset val="100"/>
        <c:noMultiLvlLbl val="0"/>
      </c:catAx>
      <c:valAx>
        <c:axId val="40200341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2003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6669306336707912"/>
          <c:y val="0.1261203587336599"/>
          <c:w val="0.63407693307396051"/>
          <c:h val="0.70529670761838803"/>
        </c:manualLayout>
      </c:layout>
      <c:lineChart>
        <c:grouping val="standard"/>
        <c:varyColors val="0"/>
        <c:ser>
          <c:idx val="1"/>
          <c:order val="0"/>
          <c:tx>
            <c:strRef>
              <c:f>Sheet4!$N$64</c:f>
              <c:strCache>
                <c:ptCount val="1"/>
                <c:pt idx="0">
                  <c:v>Peak Rural</c:v>
                </c:pt>
              </c:strCache>
            </c:strRef>
          </c:tx>
          <c:spPr>
            <a:ln w="38100" cap="rnd">
              <a:solidFill>
                <a:srgbClr val="FF7C80"/>
              </a:solidFill>
              <a:prstDash val="sysDot"/>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Sheet4!$O$64:$X$64</c:f>
              <c:numCache>
                <c:formatCode>0.00%</c:formatCode>
                <c:ptCount val="10"/>
                <c:pt idx="0">
                  <c:v>8.8888888888888906E-3</c:v>
                </c:pt>
                <c:pt idx="1">
                  <c:v>1.7777777777777781E-2</c:v>
                </c:pt>
                <c:pt idx="2">
                  <c:v>2.8666666666666667E-2</c:v>
                </c:pt>
                <c:pt idx="3">
                  <c:v>4.066666666666667E-2</c:v>
                </c:pt>
                <c:pt idx="4">
                  <c:v>5.4999999999999993E-2</c:v>
                </c:pt>
                <c:pt idx="5">
                  <c:v>6.0111111111111115E-2</c:v>
                </c:pt>
                <c:pt idx="6">
                  <c:v>6.8777777777777771E-2</c:v>
                </c:pt>
                <c:pt idx="7">
                  <c:v>6.777777777777777E-2</c:v>
                </c:pt>
                <c:pt idx="8">
                  <c:v>6.1555555555555558E-2</c:v>
                </c:pt>
                <c:pt idx="9">
                  <c:v>5.1333333333333328E-2</c:v>
                </c:pt>
              </c:numCache>
            </c:numRef>
          </c:val>
          <c:smooth val="0"/>
          <c:extLst xmlns:c16r2="http://schemas.microsoft.com/office/drawing/2015/06/chart">
            <c:ext xmlns:c16="http://schemas.microsoft.com/office/drawing/2014/chart" uri="{C3380CC4-5D6E-409C-BE32-E72D297353CC}">
              <c16:uniqueId val="{00000000-BFE9-47F0-AE33-874AD6253B96}"/>
            </c:ext>
          </c:extLst>
        </c:ser>
        <c:ser>
          <c:idx val="2"/>
          <c:order val="1"/>
          <c:tx>
            <c:strRef>
              <c:f>Sheet4!$N$83</c:f>
              <c:strCache>
                <c:ptCount val="1"/>
                <c:pt idx="0">
                  <c:v>Peak Urban</c:v>
                </c:pt>
              </c:strCache>
            </c:strRef>
          </c:tx>
          <c:spPr>
            <a:ln w="38100" cap="rnd">
              <a:solidFill>
                <a:srgbClr val="FF7C80"/>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Sheet4!$O$83:$X$83</c:f>
              <c:numCache>
                <c:formatCode>0.00%</c:formatCode>
                <c:ptCount val="10"/>
                <c:pt idx="0">
                  <c:v>1.5714285714285713E-3</c:v>
                </c:pt>
                <c:pt idx="1">
                  <c:v>3.142857142857143E-3</c:v>
                </c:pt>
                <c:pt idx="2">
                  <c:v>4.5714285714285718E-3</c:v>
                </c:pt>
                <c:pt idx="3">
                  <c:v>5.2857142857142851E-3</c:v>
                </c:pt>
                <c:pt idx="4">
                  <c:v>6.4285714285714293E-3</c:v>
                </c:pt>
                <c:pt idx="5">
                  <c:v>8.1428571428571427E-3</c:v>
                </c:pt>
                <c:pt idx="6">
                  <c:v>8.8571428571428568E-3</c:v>
                </c:pt>
                <c:pt idx="7">
                  <c:v>7.5714285714285718E-3</c:v>
                </c:pt>
                <c:pt idx="8">
                  <c:v>5.7142857142857151E-3</c:v>
                </c:pt>
                <c:pt idx="9">
                  <c:v>4.8571428571428576E-3</c:v>
                </c:pt>
              </c:numCache>
            </c:numRef>
          </c:val>
          <c:smooth val="0"/>
          <c:extLst xmlns:c16r2="http://schemas.microsoft.com/office/drawing/2015/06/chart">
            <c:ext xmlns:c16="http://schemas.microsoft.com/office/drawing/2014/chart" uri="{C3380CC4-5D6E-409C-BE32-E72D297353CC}">
              <c16:uniqueId val="{00000001-BFE9-47F0-AE33-874AD6253B96}"/>
            </c:ext>
          </c:extLst>
        </c:ser>
        <c:ser>
          <c:idx val="3"/>
          <c:order val="2"/>
          <c:tx>
            <c:strRef>
              <c:f>Sheet4!$N$75</c:f>
              <c:strCache>
                <c:ptCount val="1"/>
                <c:pt idx="0">
                  <c:v>Peak Suburban</c:v>
                </c:pt>
              </c:strCache>
            </c:strRef>
          </c:tx>
          <c:spPr>
            <a:ln w="38100" cap="rnd">
              <a:solidFill>
                <a:srgbClr val="FF7C80"/>
              </a:solidFill>
              <a:prstDash val="dash"/>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Sheet4!$O$75:$X$75</c:f>
              <c:numCache>
                <c:formatCode>0.00%</c:formatCode>
                <c:ptCount val="10"/>
                <c:pt idx="0">
                  <c:v>1.0800000000000001E-2</c:v>
                </c:pt>
                <c:pt idx="1">
                  <c:v>2.0300000000000002E-2</c:v>
                </c:pt>
                <c:pt idx="2">
                  <c:v>2.9800000000000004E-2</c:v>
                </c:pt>
                <c:pt idx="3">
                  <c:v>4.2800000000000005E-2</c:v>
                </c:pt>
                <c:pt idx="4">
                  <c:v>4.7399999999999998E-2</c:v>
                </c:pt>
                <c:pt idx="5">
                  <c:v>5.5500000000000008E-2</c:v>
                </c:pt>
                <c:pt idx="6">
                  <c:v>5.8999999999999997E-2</c:v>
                </c:pt>
                <c:pt idx="7">
                  <c:v>5.9800000000000006E-2</c:v>
                </c:pt>
                <c:pt idx="8">
                  <c:v>5.4900000000000004E-2</c:v>
                </c:pt>
                <c:pt idx="9">
                  <c:v>4.7200000000000006E-2</c:v>
                </c:pt>
              </c:numCache>
            </c:numRef>
          </c:val>
          <c:smooth val="0"/>
          <c:extLst xmlns:c16r2="http://schemas.microsoft.com/office/drawing/2015/06/chart">
            <c:ext xmlns:c16="http://schemas.microsoft.com/office/drawing/2014/chart" uri="{C3380CC4-5D6E-409C-BE32-E72D297353CC}">
              <c16:uniqueId val="{00000002-BFE9-47F0-AE33-874AD6253B96}"/>
            </c:ext>
          </c:extLst>
        </c:ser>
        <c:ser>
          <c:idx val="4"/>
          <c:order val="3"/>
          <c:tx>
            <c:strRef>
              <c:f>Sheet4!$B$75</c:f>
              <c:strCache>
                <c:ptCount val="1"/>
                <c:pt idx="0">
                  <c:v>Suburban</c:v>
                </c:pt>
              </c:strCache>
            </c:strRef>
          </c:tx>
          <c:spPr>
            <a:ln w="38100" cap="rnd">
              <a:solidFill>
                <a:schemeClr val="accent1">
                  <a:lumMod val="60000"/>
                  <a:lumOff val="40000"/>
                </a:schemeClr>
              </a:solidFill>
              <a:prstDash val="dash"/>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Sheet4!$C$75:$L$75</c:f>
              <c:numCache>
                <c:formatCode>0.00%</c:formatCode>
                <c:ptCount val="10"/>
                <c:pt idx="0">
                  <c:v>3.7000000000000006E-3</c:v>
                </c:pt>
                <c:pt idx="1">
                  <c:v>7.3999999999999995E-3</c:v>
                </c:pt>
                <c:pt idx="2">
                  <c:v>1.0800000000000001E-2</c:v>
                </c:pt>
                <c:pt idx="3">
                  <c:v>1.29E-2</c:v>
                </c:pt>
                <c:pt idx="4">
                  <c:v>1.4000000000000002E-2</c:v>
                </c:pt>
                <c:pt idx="5">
                  <c:v>1.5000000000000003E-2</c:v>
                </c:pt>
                <c:pt idx="6">
                  <c:v>1.5700000000000002E-2</c:v>
                </c:pt>
                <c:pt idx="7">
                  <c:v>1.5800000000000002E-2</c:v>
                </c:pt>
                <c:pt idx="8">
                  <c:v>1.5500000000000003E-2</c:v>
                </c:pt>
                <c:pt idx="9">
                  <c:v>1.4900000000000002E-2</c:v>
                </c:pt>
              </c:numCache>
            </c:numRef>
          </c:val>
          <c:smooth val="0"/>
          <c:extLst xmlns:c16r2="http://schemas.microsoft.com/office/drawing/2015/06/chart">
            <c:ext xmlns:c16="http://schemas.microsoft.com/office/drawing/2014/chart" uri="{C3380CC4-5D6E-409C-BE32-E72D297353CC}">
              <c16:uniqueId val="{00000003-BFE9-47F0-AE33-874AD6253B96}"/>
            </c:ext>
          </c:extLst>
        </c:ser>
        <c:ser>
          <c:idx val="5"/>
          <c:order val="4"/>
          <c:tx>
            <c:strRef>
              <c:f>Sheet4!$B$83</c:f>
              <c:strCache>
                <c:ptCount val="1"/>
                <c:pt idx="0">
                  <c:v>Urban</c:v>
                </c:pt>
              </c:strCache>
            </c:strRef>
          </c:tx>
          <c:spPr>
            <a:ln w="38100" cap="rnd">
              <a:solidFill>
                <a:schemeClr val="accent1">
                  <a:lumMod val="60000"/>
                  <a:lumOff val="40000"/>
                </a:schemeClr>
              </a:solidFill>
              <a:prstDash val="solid"/>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Sheet4!$C$83:$L$83</c:f>
              <c:numCache>
                <c:formatCode>0.00%</c:formatCode>
                <c:ptCount val="10"/>
                <c:pt idx="0">
                  <c:v>2.8571428571428574E-4</c:v>
                </c:pt>
                <c:pt idx="1">
                  <c:v>8.5714285714285721E-4</c:v>
                </c:pt>
                <c:pt idx="2">
                  <c:v>1.2857142857142859E-3</c:v>
                </c:pt>
                <c:pt idx="3">
                  <c:v>2E-3</c:v>
                </c:pt>
                <c:pt idx="4">
                  <c:v>2.142857142857143E-3</c:v>
                </c:pt>
                <c:pt idx="5">
                  <c:v>2E-3</c:v>
                </c:pt>
                <c:pt idx="6">
                  <c:v>2.7142857142857142E-3</c:v>
                </c:pt>
                <c:pt idx="7">
                  <c:v>2.7142857142857147E-3</c:v>
                </c:pt>
                <c:pt idx="8">
                  <c:v>2.5714285714285717E-3</c:v>
                </c:pt>
                <c:pt idx="9">
                  <c:v>2.4285714285714288E-3</c:v>
                </c:pt>
              </c:numCache>
            </c:numRef>
          </c:val>
          <c:smooth val="0"/>
          <c:extLst xmlns:c16r2="http://schemas.microsoft.com/office/drawing/2015/06/chart">
            <c:ext xmlns:c16="http://schemas.microsoft.com/office/drawing/2014/chart" uri="{C3380CC4-5D6E-409C-BE32-E72D297353CC}">
              <c16:uniqueId val="{00000004-BFE9-47F0-AE33-874AD6253B96}"/>
            </c:ext>
          </c:extLst>
        </c:ser>
        <c:ser>
          <c:idx val="0"/>
          <c:order val="5"/>
          <c:tx>
            <c:strRef>
              <c:f>Sheet4!$B$64</c:f>
              <c:strCache>
                <c:ptCount val="1"/>
                <c:pt idx="0">
                  <c:v>Rural</c:v>
                </c:pt>
              </c:strCache>
            </c:strRef>
          </c:tx>
          <c:spPr>
            <a:ln w="38100" cap="rnd">
              <a:solidFill>
                <a:schemeClr val="accent1">
                  <a:lumMod val="60000"/>
                  <a:lumOff val="40000"/>
                </a:schemeClr>
              </a:solidFill>
              <a:prstDash val="sysDot"/>
              <a:round/>
            </a:ln>
            <a:effectLst/>
          </c:spPr>
          <c:marker>
            <c:symbol val="none"/>
          </c:marker>
          <c:val>
            <c:numRef>
              <c:f>Sheet4!$C$64:$L$64</c:f>
              <c:numCache>
                <c:formatCode>0.00%</c:formatCode>
                <c:ptCount val="10"/>
                <c:pt idx="0">
                  <c:v>1.0222222222222223E-2</c:v>
                </c:pt>
                <c:pt idx="1">
                  <c:v>1.588888888888889E-2</c:v>
                </c:pt>
                <c:pt idx="2">
                  <c:v>1.8777777777777779E-2</c:v>
                </c:pt>
                <c:pt idx="3">
                  <c:v>2.0444444444444446E-2</c:v>
                </c:pt>
                <c:pt idx="4">
                  <c:v>2.0777777777777777E-2</c:v>
                </c:pt>
                <c:pt idx="5">
                  <c:v>1.9555555555555555E-2</c:v>
                </c:pt>
                <c:pt idx="6">
                  <c:v>1.8444444444444444E-2</c:v>
                </c:pt>
                <c:pt idx="7">
                  <c:v>1.7333333333333333E-2</c:v>
                </c:pt>
                <c:pt idx="8">
                  <c:v>1.5555555555555557E-2</c:v>
                </c:pt>
                <c:pt idx="9">
                  <c:v>1.3000000000000001E-2</c:v>
                </c:pt>
              </c:numCache>
            </c:numRef>
          </c:val>
          <c:smooth val="0"/>
          <c:extLst xmlns:c16r2="http://schemas.microsoft.com/office/drawing/2015/06/chart">
            <c:ext xmlns:c16="http://schemas.microsoft.com/office/drawing/2014/chart" uri="{C3380CC4-5D6E-409C-BE32-E72D297353CC}">
              <c16:uniqueId val="{00000005-BFE9-47F0-AE33-874AD6253B96}"/>
            </c:ext>
          </c:extLst>
        </c:ser>
        <c:dLbls>
          <c:showLegendKey val="0"/>
          <c:showVal val="0"/>
          <c:showCatName val="0"/>
          <c:showSerName val="0"/>
          <c:showPercent val="0"/>
          <c:showBubbleSize val="0"/>
        </c:dLbls>
        <c:smooth val="0"/>
        <c:axId val="426741144"/>
        <c:axId val="426741536"/>
      </c:lineChart>
      <c:catAx>
        <c:axId val="426741144"/>
        <c:scaling>
          <c:orientation val="minMax"/>
        </c:scaling>
        <c:delete val="0"/>
        <c:axPos val="b"/>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cap="none" spc="0" normalizeH="0" baseline="0">
                <a:solidFill>
                  <a:schemeClr val="tx1">
                    <a:lumMod val="65000"/>
                    <a:lumOff val="35000"/>
                  </a:schemeClr>
                </a:solidFill>
                <a:latin typeface="+mn-lt"/>
                <a:ea typeface="+mn-ea"/>
                <a:cs typeface="+mn-cs"/>
              </a:defRPr>
            </a:pPr>
            <a:endParaRPr lang="en-US"/>
          </a:p>
        </c:txPr>
        <c:crossAx val="426741536"/>
        <c:crosses val="autoZero"/>
        <c:auto val="1"/>
        <c:lblAlgn val="ctr"/>
        <c:lblOffset val="100"/>
        <c:noMultiLvlLbl val="0"/>
      </c:catAx>
      <c:valAx>
        <c:axId val="42674153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200" b="0" i="0" u="none" strike="noStrike" kern="1200" cap="all" baseline="0">
                    <a:solidFill>
                      <a:schemeClr val="tx1">
                        <a:lumMod val="65000"/>
                        <a:lumOff val="35000"/>
                      </a:schemeClr>
                    </a:solidFill>
                    <a:latin typeface="+mn-lt"/>
                    <a:ea typeface="+mn-ea"/>
                    <a:cs typeface="+mn-cs"/>
                  </a:defRPr>
                </a:pPr>
                <a:r>
                  <a:rPr lang="en-US" sz="1200"/>
                  <a:t>% Line</a:t>
                </a:r>
                <a:r>
                  <a:rPr lang="en-US" sz="1200" baseline="0"/>
                  <a:t> Loss Reduction </a:t>
                </a:r>
                <a:endParaRPr lang="en-US" sz="1200"/>
              </a:p>
            </c:rich>
          </c:tx>
          <c:layout/>
          <c:overlay val="0"/>
          <c:spPr>
            <a:noFill/>
            <a:ln>
              <a:noFill/>
            </a:ln>
            <a:effectLst/>
          </c:spPr>
          <c:txPr>
            <a:bodyPr rot="-5400000" spcFirstLastPara="1" vertOverflow="ellipsis" vert="horz" wrap="square" anchor="ctr" anchorCtr="1"/>
            <a:lstStyle/>
            <a:p>
              <a:pPr>
                <a:defRPr sz="1200" b="0" i="0" u="none" strike="noStrike" kern="1200" cap="all"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426741144"/>
        <c:crosses val="autoZero"/>
        <c:crossBetween val="between"/>
      </c:valAx>
      <c:spPr>
        <a:noFill/>
        <a:ln>
          <a:noFill/>
        </a:ln>
        <a:effectLst/>
      </c:spPr>
    </c:plotArea>
    <c:legend>
      <c:legendPos val="r"/>
      <c:layout>
        <c:manualLayout>
          <c:xMode val="edge"/>
          <c:yMode val="edge"/>
          <c:x val="0.7854057376964636"/>
          <c:y val="0.24957842810365316"/>
          <c:w val="0.20503854733665297"/>
          <c:h val="0.6372739935599893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2916212396527357"/>
          <c:y val="8.4835325816831036E-2"/>
          <c:w val="0.84185236878834957"/>
          <c:h val="0.77348608657699913"/>
        </c:manualLayout>
      </c:layout>
      <c:lineChart>
        <c:grouping val="standard"/>
        <c:varyColors val="0"/>
        <c:ser>
          <c:idx val="0"/>
          <c:order val="0"/>
          <c:spPr>
            <a:ln w="28575" cap="rnd">
              <a:solidFill>
                <a:schemeClr val="accent1"/>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Sheet4!$C$29:$L$29</c:f>
              <c:numCache>
                <c:formatCode>General</c:formatCode>
                <c:ptCount val="10"/>
                <c:pt idx="0">
                  <c:v>4</c:v>
                </c:pt>
                <c:pt idx="1">
                  <c:v>6</c:v>
                </c:pt>
                <c:pt idx="2">
                  <c:v>7</c:v>
                </c:pt>
                <c:pt idx="3">
                  <c:v>14</c:v>
                </c:pt>
                <c:pt idx="4">
                  <c:v>18</c:v>
                </c:pt>
                <c:pt idx="5">
                  <c:v>13</c:v>
                </c:pt>
                <c:pt idx="6">
                  <c:v>13</c:v>
                </c:pt>
                <c:pt idx="7">
                  <c:v>12</c:v>
                </c:pt>
                <c:pt idx="8">
                  <c:v>11</c:v>
                </c:pt>
                <c:pt idx="9">
                  <c:v>5</c:v>
                </c:pt>
              </c:numCache>
            </c:numRef>
          </c:val>
          <c:smooth val="0"/>
          <c:extLst xmlns:c16r2="http://schemas.microsoft.com/office/drawing/2015/06/chart">
            <c:ext xmlns:c16="http://schemas.microsoft.com/office/drawing/2014/chart" uri="{C3380CC4-5D6E-409C-BE32-E72D297353CC}">
              <c16:uniqueId val="{00000000-7A6B-40B5-BABF-3DF697F82678}"/>
            </c:ext>
          </c:extLst>
        </c:ser>
        <c:ser>
          <c:idx val="1"/>
          <c:order val="1"/>
          <c:spPr>
            <a:ln w="28575" cap="rnd">
              <a:solidFill>
                <a:schemeClr val="accent2"/>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Sheet4!$C$30:$L$30</c:f>
              <c:numCache>
                <c:formatCode>General</c:formatCode>
                <c:ptCount val="10"/>
                <c:pt idx="0">
                  <c:v>5</c:v>
                </c:pt>
                <c:pt idx="1">
                  <c:v>7</c:v>
                </c:pt>
                <c:pt idx="2">
                  <c:v>10</c:v>
                </c:pt>
                <c:pt idx="3">
                  <c:v>11</c:v>
                </c:pt>
                <c:pt idx="4">
                  <c:v>11</c:v>
                </c:pt>
                <c:pt idx="5">
                  <c:v>10</c:v>
                </c:pt>
                <c:pt idx="6">
                  <c:v>8</c:v>
                </c:pt>
                <c:pt idx="7">
                  <c:v>8</c:v>
                </c:pt>
                <c:pt idx="8">
                  <c:v>7</c:v>
                </c:pt>
                <c:pt idx="9">
                  <c:v>5</c:v>
                </c:pt>
              </c:numCache>
            </c:numRef>
          </c:val>
          <c:smooth val="0"/>
          <c:extLst xmlns:c16r2="http://schemas.microsoft.com/office/drawing/2015/06/chart">
            <c:ext xmlns:c16="http://schemas.microsoft.com/office/drawing/2014/chart" uri="{C3380CC4-5D6E-409C-BE32-E72D297353CC}">
              <c16:uniqueId val="{00000001-7A6B-40B5-BABF-3DF697F82678}"/>
            </c:ext>
          </c:extLst>
        </c:ser>
        <c:ser>
          <c:idx val="2"/>
          <c:order val="2"/>
          <c:spPr>
            <a:ln w="28575" cap="rnd">
              <a:solidFill>
                <a:schemeClr val="accent3"/>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Sheet4!$C$31:$L$31</c:f>
              <c:numCache>
                <c:formatCode>General</c:formatCode>
                <c:ptCount val="10"/>
                <c:pt idx="0">
                  <c:v>10</c:v>
                </c:pt>
                <c:pt idx="1">
                  <c:v>24</c:v>
                </c:pt>
                <c:pt idx="2">
                  <c:v>32</c:v>
                </c:pt>
                <c:pt idx="3">
                  <c:v>35</c:v>
                </c:pt>
                <c:pt idx="4">
                  <c:v>37</c:v>
                </c:pt>
                <c:pt idx="5">
                  <c:v>39</c:v>
                </c:pt>
                <c:pt idx="6">
                  <c:v>38</c:v>
                </c:pt>
                <c:pt idx="7">
                  <c:v>37</c:v>
                </c:pt>
                <c:pt idx="8">
                  <c:v>34</c:v>
                </c:pt>
                <c:pt idx="9">
                  <c:v>29</c:v>
                </c:pt>
              </c:numCache>
            </c:numRef>
          </c:val>
          <c:smooth val="0"/>
          <c:extLst xmlns:c16r2="http://schemas.microsoft.com/office/drawing/2015/06/chart">
            <c:ext xmlns:c16="http://schemas.microsoft.com/office/drawing/2014/chart" uri="{C3380CC4-5D6E-409C-BE32-E72D297353CC}">
              <c16:uniqueId val="{00000002-7A6B-40B5-BABF-3DF697F82678}"/>
            </c:ext>
          </c:extLst>
        </c:ser>
        <c:ser>
          <c:idx val="3"/>
          <c:order val="3"/>
          <c:spPr>
            <a:ln w="28575" cap="rnd">
              <a:solidFill>
                <a:schemeClr val="accent4"/>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Sheet4!$C$32:$L$32</c:f>
              <c:numCache>
                <c:formatCode>General</c:formatCode>
                <c:ptCount val="10"/>
                <c:pt idx="0">
                  <c:v>8</c:v>
                </c:pt>
                <c:pt idx="1">
                  <c:v>13</c:v>
                </c:pt>
                <c:pt idx="2">
                  <c:v>18</c:v>
                </c:pt>
                <c:pt idx="3">
                  <c:v>20</c:v>
                </c:pt>
                <c:pt idx="4">
                  <c:v>20</c:v>
                </c:pt>
                <c:pt idx="5">
                  <c:v>20</c:v>
                </c:pt>
                <c:pt idx="6">
                  <c:v>21</c:v>
                </c:pt>
                <c:pt idx="7">
                  <c:v>21</c:v>
                </c:pt>
                <c:pt idx="8">
                  <c:v>20</c:v>
                </c:pt>
                <c:pt idx="9">
                  <c:v>19</c:v>
                </c:pt>
              </c:numCache>
            </c:numRef>
          </c:val>
          <c:smooth val="0"/>
          <c:extLst xmlns:c16r2="http://schemas.microsoft.com/office/drawing/2015/06/chart">
            <c:ext xmlns:c16="http://schemas.microsoft.com/office/drawing/2014/chart" uri="{C3380CC4-5D6E-409C-BE32-E72D297353CC}">
              <c16:uniqueId val="{00000003-7A6B-40B5-BABF-3DF697F82678}"/>
            </c:ext>
          </c:extLst>
        </c:ser>
        <c:ser>
          <c:idx val="4"/>
          <c:order val="4"/>
          <c:spPr>
            <a:ln w="28575" cap="rnd">
              <a:solidFill>
                <a:schemeClr val="accent5"/>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Sheet4!$C$33:$L$33</c:f>
              <c:numCache>
                <c:formatCode>General</c:formatCode>
                <c:ptCount val="10"/>
                <c:pt idx="0">
                  <c:v>8</c:v>
                </c:pt>
                <c:pt idx="1">
                  <c:v>12</c:v>
                </c:pt>
                <c:pt idx="2">
                  <c:v>13</c:v>
                </c:pt>
                <c:pt idx="3">
                  <c:v>13</c:v>
                </c:pt>
                <c:pt idx="4">
                  <c:v>12</c:v>
                </c:pt>
                <c:pt idx="5">
                  <c:v>11</c:v>
                </c:pt>
                <c:pt idx="6">
                  <c:v>10</c:v>
                </c:pt>
                <c:pt idx="7">
                  <c:v>9</c:v>
                </c:pt>
                <c:pt idx="8">
                  <c:v>8</c:v>
                </c:pt>
                <c:pt idx="9">
                  <c:v>6</c:v>
                </c:pt>
              </c:numCache>
            </c:numRef>
          </c:val>
          <c:smooth val="0"/>
          <c:extLst xmlns:c16r2="http://schemas.microsoft.com/office/drawing/2015/06/chart">
            <c:ext xmlns:c16="http://schemas.microsoft.com/office/drawing/2014/chart" uri="{C3380CC4-5D6E-409C-BE32-E72D297353CC}">
              <c16:uniqueId val="{00000004-7A6B-40B5-BABF-3DF697F82678}"/>
            </c:ext>
          </c:extLst>
        </c:ser>
        <c:ser>
          <c:idx val="5"/>
          <c:order val="5"/>
          <c:spPr>
            <a:ln w="28575" cap="rnd">
              <a:solidFill>
                <a:schemeClr val="accent6"/>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Sheet4!$C$34:$L$34</c:f>
              <c:numCache>
                <c:formatCode>General</c:formatCode>
                <c:ptCount val="10"/>
                <c:pt idx="0">
                  <c:v>21</c:v>
                </c:pt>
                <c:pt idx="1">
                  <c:v>18</c:v>
                </c:pt>
                <c:pt idx="2">
                  <c:v>18</c:v>
                </c:pt>
                <c:pt idx="3">
                  <c:v>16</c:v>
                </c:pt>
                <c:pt idx="4">
                  <c:v>13</c:v>
                </c:pt>
                <c:pt idx="5">
                  <c:v>9</c:v>
                </c:pt>
                <c:pt idx="6">
                  <c:v>6</c:v>
                </c:pt>
                <c:pt idx="7">
                  <c:v>3</c:v>
                </c:pt>
                <c:pt idx="8">
                  <c:v>0</c:v>
                </c:pt>
                <c:pt idx="9">
                  <c:v>-3</c:v>
                </c:pt>
              </c:numCache>
            </c:numRef>
          </c:val>
          <c:smooth val="0"/>
          <c:extLst xmlns:c16r2="http://schemas.microsoft.com/office/drawing/2015/06/chart">
            <c:ext xmlns:c16="http://schemas.microsoft.com/office/drawing/2014/chart" uri="{C3380CC4-5D6E-409C-BE32-E72D297353CC}">
              <c16:uniqueId val="{00000005-7A6B-40B5-BABF-3DF697F82678}"/>
            </c:ext>
          </c:extLst>
        </c:ser>
        <c:ser>
          <c:idx val="6"/>
          <c:order val="6"/>
          <c:spPr>
            <a:ln w="28575" cap="rnd">
              <a:solidFill>
                <a:schemeClr val="accent1">
                  <a:lumMod val="6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Sheet4!$C$35:$L$35</c:f>
              <c:numCache>
                <c:formatCode>General</c:formatCode>
                <c:ptCount val="10"/>
                <c:pt idx="0">
                  <c:v>5</c:v>
                </c:pt>
                <c:pt idx="1">
                  <c:v>10</c:v>
                </c:pt>
                <c:pt idx="2">
                  <c:v>13</c:v>
                </c:pt>
                <c:pt idx="3">
                  <c:v>13</c:v>
                </c:pt>
                <c:pt idx="4">
                  <c:v>12</c:v>
                </c:pt>
                <c:pt idx="5">
                  <c:v>10</c:v>
                </c:pt>
                <c:pt idx="6">
                  <c:v>9</c:v>
                </c:pt>
                <c:pt idx="7">
                  <c:v>8</c:v>
                </c:pt>
                <c:pt idx="8">
                  <c:v>6</c:v>
                </c:pt>
                <c:pt idx="9">
                  <c:v>4</c:v>
                </c:pt>
              </c:numCache>
            </c:numRef>
          </c:val>
          <c:smooth val="0"/>
          <c:extLst xmlns:c16r2="http://schemas.microsoft.com/office/drawing/2015/06/chart">
            <c:ext xmlns:c16="http://schemas.microsoft.com/office/drawing/2014/chart" uri="{C3380CC4-5D6E-409C-BE32-E72D297353CC}">
              <c16:uniqueId val="{00000006-7A6B-40B5-BABF-3DF697F82678}"/>
            </c:ext>
          </c:extLst>
        </c:ser>
        <c:ser>
          <c:idx val="7"/>
          <c:order val="7"/>
          <c:spPr>
            <a:ln w="28575" cap="rnd">
              <a:solidFill>
                <a:schemeClr val="accent2">
                  <a:lumMod val="6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Sheet4!$C$36:$L$36</c:f>
              <c:numCache>
                <c:formatCode>General</c:formatCode>
                <c:ptCount val="10"/>
                <c:pt idx="0">
                  <c:v>29</c:v>
                </c:pt>
                <c:pt idx="1">
                  <c:v>49</c:v>
                </c:pt>
                <c:pt idx="2">
                  <c:v>52</c:v>
                </c:pt>
                <c:pt idx="3">
                  <c:v>55</c:v>
                </c:pt>
                <c:pt idx="4">
                  <c:v>56</c:v>
                </c:pt>
                <c:pt idx="5">
                  <c:v>57</c:v>
                </c:pt>
                <c:pt idx="6">
                  <c:v>55</c:v>
                </c:pt>
                <c:pt idx="7">
                  <c:v>52</c:v>
                </c:pt>
                <c:pt idx="8">
                  <c:v>49</c:v>
                </c:pt>
                <c:pt idx="9">
                  <c:v>47</c:v>
                </c:pt>
              </c:numCache>
            </c:numRef>
          </c:val>
          <c:smooth val="0"/>
          <c:extLst xmlns:c16r2="http://schemas.microsoft.com/office/drawing/2015/06/chart">
            <c:ext xmlns:c16="http://schemas.microsoft.com/office/drawing/2014/chart" uri="{C3380CC4-5D6E-409C-BE32-E72D297353CC}">
              <c16:uniqueId val="{00000007-7A6B-40B5-BABF-3DF697F82678}"/>
            </c:ext>
          </c:extLst>
        </c:ser>
        <c:ser>
          <c:idx val="8"/>
          <c:order val="8"/>
          <c:spPr>
            <a:ln w="28575" cap="rnd">
              <a:solidFill>
                <a:schemeClr val="accent3">
                  <a:lumMod val="6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Sheet4!$C$37:$L$37</c:f>
              <c:numCache>
                <c:formatCode>General</c:formatCode>
                <c:ptCount val="10"/>
                <c:pt idx="0">
                  <c:v>2</c:v>
                </c:pt>
                <c:pt idx="1">
                  <c:v>4</c:v>
                </c:pt>
                <c:pt idx="2">
                  <c:v>6</c:v>
                </c:pt>
                <c:pt idx="3">
                  <c:v>7</c:v>
                </c:pt>
                <c:pt idx="4">
                  <c:v>8</c:v>
                </c:pt>
                <c:pt idx="5">
                  <c:v>7</c:v>
                </c:pt>
                <c:pt idx="6">
                  <c:v>6</c:v>
                </c:pt>
                <c:pt idx="7">
                  <c:v>6</c:v>
                </c:pt>
                <c:pt idx="8">
                  <c:v>5</c:v>
                </c:pt>
                <c:pt idx="9">
                  <c:v>5</c:v>
                </c:pt>
              </c:numCache>
            </c:numRef>
          </c:val>
          <c:smooth val="0"/>
          <c:extLst xmlns:c16r2="http://schemas.microsoft.com/office/drawing/2015/06/chart">
            <c:ext xmlns:c16="http://schemas.microsoft.com/office/drawing/2014/chart" uri="{C3380CC4-5D6E-409C-BE32-E72D297353CC}">
              <c16:uniqueId val="{00000008-7A6B-40B5-BABF-3DF697F82678}"/>
            </c:ext>
          </c:extLst>
        </c:ser>
        <c:ser>
          <c:idx val="9"/>
          <c:order val="9"/>
          <c:spPr>
            <a:ln w="28575" cap="rnd">
              <a:solidFill>
                <a:schemeClr val="accent4">
                  <a:lumMod val="6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Sheet4!$C$38:$L$38</c:f>
              <c:numCache>
                <c:formatCode>General</c:formatCode>
                <c:ptCount val="10"/>
                <c:pt idx="0">
                  <c:v>5</c:v>
                </c:pt>
                <c:pt idx="1">
                  <c:v>10</c:v>
                </c:pt>
                <c:pt idx="2">
                  <c:v>11</c:v>
                </c:pt>
                <c:pt idx="3">
                  <c:v>12</c:v>
                </c:pt>
                <c:pt idx="4">
                  <c:v>12</c:v>
                </c:pt>
                <c:pt idx="5">
                  <c:v>12</c:v>
                </c:pt>
                <c:pt idx="6">
                  <c:v>12</c:v>
                </c:pt>
                <c:pt idx="7">
                  <c:v>12</c:v>
                </c:pt>
                <c:pt idx="8">
                  <c:v>12</c:v>
                </c:pt>
                <c:pt idx="9">
                  <c:v>12</c:v>
                </c:pt>
              </c:numCache>
            </c:numRef>
          </c:val>
          <c:smooth val="0"/>
          <c:extLst xmlns:c16r2="http://schemas.microsoft.com/office/drawing/2015/06/chart">
            <c:ext xmlns:c16="http://schemas.microsoft.com/office/drawing/2014/chart" uri="{C3380CC4-5D6E-409C-BE32-E72D297353CC}">
              <c16:uniqueId val="{00000009-7A6B-40B5-BABF-3DF697F82678}"/>
            </c:ext>
          </c:extLst>
        </c:ser>
        <c:ser>
          <c:idx val="10"/>
          <c:order val="10"/>
          <c:spPr>
            <a:ln w="28575" cap="rnd">
              <a:solidFill>
                <a:schemeClr val="accent5">
                  <a:lumMod val="6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Sheet4!$C$39:$L$39</c:f>
              <c:numCache>
                <c:formatCode>General</c:formatCode>
                <c:ptCount val="10"/>
                <c:pt idx="0">
                  <c:v>6</c:v>
                </c:pt>
                <c:pt idx="1">
                  <c:v>10</c:v>
                </c:pt>
                <c:pt idx="2">
                  <c:v>15</c:v>
                </c:pt>
                <c:pt idx="3">
                  <c:v>18</c:v>
                </c:pt>
                <c:pt idx="4">
                  <c:v>19</c:v>
                </c:pt>
                <c:pt idx="5">
                  <c:v>19</c:v>
                </c:pt>
                <c:pt idx="6">
                  <c:v>19</c:v>
                </c:pt>
                <c:pt idx="7">
                  <c:v>18</c:v>
                </c:pt>
                <c:pt idx="8">
                  <c:v>17</c:v>
                </c:pt>
                <c:pt idx="9">
                  <c:v>14</c:v>
                </c:pt>
              </c:numCache>
            </c:numRef>
          </c:val>
          <c:smooth val="0"/>
          <c:extLst xmlns:c16r2="http://schemas.microsoft.com/office/drawing/2015/06/chart">
            <c:ext xmlns:c16="http://schemas.microsoft.com/office/drawing/2014/chart" uri="{C3380CC4-5D6E-409C-BE32-E72D297353CC}">
              <c16:uniqueId val="{0000000A-7A6B-40B5-BABF-3DF697F82678}"/>
            </c:ext>
          </c:extLst>
        </c:ser>
        <c:ser>
          <c:idx val="11"/>
          <c:order val="11"/>
          <c:spPr>
            <a:ln w="28575" cap="rnd">
              <a:solidFill>
                <a:schemeClr val="accent6">
                  <a:lumMod val="6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Sheet4!$C$40:$L$40</c:f>
              <c:numCache>
                <c:formatCode>General</c:formatCode>
                <c:ptCount val="10"/>
                <c:pt idx="0">
                  <c:v>2</c:v>
                </c:pt>
                <c:pt idx="1">
                  <c:v>2</c:v>
                </c:pt>
                <c:pt idx="2">
                  <c:v>4</c:v>
                </c:pt>
                <c:pt idx="3">
                  <c:v>5</c:v>
                </c:pt>
                <c:pt idx="4">
                  <c:v>5</c:v>
                </c:pt>
                <c:pt idx="5">
                  <c:v>7</c:v>
                </c:pt>
                <c:pt idx="6">
                  <c:v>7</c:v>
                </c:pt>
                <c:pt idx="7">
                  <c:v>8</c:v>
                </c:pt>
                <c:pt idx="8">
                  <c:v>8</c:v>
                </c:pt>
                <c:pt idx="9">
                  <c:v>9</c:v>
                </c:pt>
              </c:numCache>
            </c:numRef>
          </c:val>
          <c:smooth val="0"/>
          <c:extLst xmlns:c16r2="http://schemas.microsoft.com/office/drawing/2015/06/chart">
            <c:ext xmlns:c16="http://schemas.microsoft.com/office/drawing/2014/chart" uri="{C3380CC4-5D6E-409C-BE32-E72D297353CC}">
              <c16:uniqueId val="{0000000B-7A6B-40B5-BABF-3DF697F82678}"/>
            </c:ext>
          </c:extLst>
        </c:ser>
        <c:ser>
          <c:idx val="12"/>
          <c:order val="12"/>
          <c:spPr>
            <a:ln w="28575" cap="rnd">
              <a:solidFill>
                <a:schemeClr val="accent1">
                  <a:lumMod val="80000"/>
                  <a:lumOff val="2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Sheet4!$C$41:$L$41</c:f>
              <c:numCache>
                <c:formatCode>General</c:formatCode>
                <c:ptCount val="10"/>
                <c:pt idx="0">
                  <c:v>11</c:v>
                </c:pt>
                <c:pt idx="1">
                  <c:v>17</c:v>
                </c:pt>
                <c:pt idx="2">
                  <c:v>29</c:v>
                </c:pt>
                <c:pt idx="3">
                  <c:v>31</c:v>
                </c:pt>
                <c:pt idx="4">
                  <c:v>31</c:v>
                </c:pt>
                <c:pt idx="5">
                  <c:v>31</c:v>
                </c:pt>
                <c:pt idx="6">
                  <c:v>31</c:v>
                </c:pt>
                <c:pt idx="7">
                  <c:v>29</c:v>
                </c:pt>
                <c:pt idx="8">
                  <c:v>27</c:v>
                </c:pt>
                <c:pt idx="9">
                  <c:v>26</c:v>
                </c:pt>
              </c:numCache>
            </c:numRef>
          </c:val>
          <c:smooth val="0"/>
          <c:extLst xmlns:c16r2="http://schemas.microsoft.com/office/drawing/2015/06/chart">
            <c:ext xmlns:c16="http://schemas.microsoft.com/office/drawing/2014/chart" uri="{C3380CC4-5D6E-409C-BE32-E72D297353CC}">
              <c16:uniqueId val="{0000000C-7A6B-40B5-BABF-3DF697F82678}"/>
            </c:ext>
          </c:extLst>
        </c:ser>
        <c:ser>
          <c:idx val="13"/>
          <c:order val="13"/>
          <c:spPr>
            <a:ln w="28575" cap="rnd">
              <a:solidFill>
                <a:schemeClr val="accent2">
                  <a:lumMod val="80000"/>
                  <a:lumOff val="2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Sheet4!$C$42:$L$42</c:f>
              <c:numCache>
                <c:formatCode>General</c:formatCode>
                <c:ptCount val="10"/>
                <c:pt idx="0">
                  <c:v>0</c:v>
                </c:pt>
                <c:pt idx="1">
                  <c:v>0</c:v>
                </c:pt>
                <c:pt idx="2">
                  <c:v>1</c:v>
                </c:pt>
                <c:pt idx="3">
                  <c:v>1</c:v>
                </c:pt>
                <c:pt idx="4">
                  <c:v>1</c:v>
                </c:pt>
                <c:pt idx="5">
                  <c:v>1</c:v>
                </c:pt>
                <c:pt idx="6">
                  <c:v>2</c:v>
                </c:pt>
                <c:pt idx="7">
                  <c:v>2</c:v>
                </c:pt>
                <c:pt idx="8">
                  <c:v>2</c:v>
                </c:pt>
                <c:pt idx="9">
                  <c:v>2</c:v>
                </c:pt>
              </c:numCache>
            </c:numRef>
          </c:val>
          <c:smooth val="0"/>
          <c:extLst xmlns:c16r2="http://schemas.microsoft.com/office/drawing/2015/06/chart">
            <c:ext xmlns:c16="http://schemas.microsoft.com/office/drawing/2014/chart" uri="{C3380CC4-5D6E-409C-BE32-E72D297353CC}">
              <c16:uniqueId val="{0000000D-7A6B-40B5-BABF-3DF697F82678}"/>
            </c:ext>
          </c:extLst>
        </c:ser>
        <c:ser>
          <c:idx val="14"/>
          <c:order val="14"/>
          <c:spPr>
            <a:ln w="28575" cap="rnd">
              <a:solidFill>
                <a:schemeClr val="accent3">
                  <a:lumMod val="80000"/>
                  <a:lumOff val="2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Sheet4!$C$43:$L$43</c:f>
              <c:numCache>
                <c:formatCode>General</c:formatCode>
                <c:ptCount val="10"/>
                <c:pt idx="0">
                  <c:v>3</c:v>
                </c:pt>
                <c:pt idx="1">
                  <c:v>6</c:v>
                </c:pt>
                <c:pt idx="2">
                  <c:v>8</c:v>
                </c:pt>
                <c:pt idx="3">
                  <c:v>12</c:v>
                </c:pt>
                <c:pt idx="4">
                  <c:v>14</c:v>
                </c:pt>
                <c:pt idx="5">
                  <c:v>16</c:v>
                </c:pt>
                <c:pt idx="6">
                  <c:v>16</c:v>
                </c:pt>
                <c:pt idx="7">
                  <c:v>17</c:v>
                </c:pt>
                <c:pt idx="8">
                  <c:v>17</c:v>
                </c:pt>
                <c:pt idx="9">
                  <c:v>16</c:v>
                </c:pt>
              </c:numCache>
            </c:numRef>
          </c:val>
          <c:smooth val="0"/>
          <c:extLst xmlns:c16r2="http://schemas.microsoft.com/office/drawing/2015/06/chart">
            <c:ext xmlns:c16="http://schemas.microsoft.com/office/drawing/2014/chart" uri="{C3380CC4-5D6E-409C-BE32-E72D297353CC}">
              <c16:uniqueId val="{0000000E-7A6B-40B5-BABF-3DF697F82678}"/>
            </c:ext>
          </c:extLst>
        </c:ser>
        <c:ser>
          <c:idx val="15"/>
          <c:order val="15"/>
          <c:spPr>
            <a:ln w="28575" cap="rnd">
              <a:solidFill>
                <a:schemeClr val="accent4">
                  <a:lumMod val="80000"/>
                  <a:lumOff val="2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Sheet4!$C$44:$L$44</c:f>
              <c:numCache>
                <c:formatCode>General</c:formatCode>
                <c:ptCount val="10"/>
                <c:pt idx="0">
                  <c:v>3</c:v>
                </c:pt>
                <c:pt idx="1">
                  <c:v>11</c:v>
                </c:pt>
                <c:pt idx="2">
                  <c:v>16</c:v>
                </c:pt>
                <c:pt idx="3">
                  <c:v>21</c:v>
                </c:pt>
                <c:pt idx="4">
                  <c:v>25</c:v>
                </c:pt>
                <c:pt idx="5">
                  <c:v>29</c:v>
                </c:pt>
                <c:pt idx="6">
                  <c:v>32</c:v>
                </c:pt>
                <c:pt idx="7">
                  <c:v>34</c:v>
                </c:pt>
                <c:pt idx="8">
                  <c:v>34</c:v>
                </c:pt>
                <c:pt idx="9">
                  <c:v>34</c:v>
                </c:pt>
              </c:numCache>
            </c:numRef>
          </c:val>
          <c:smooth val="0"/>
          <c:extLst xmlns:c16r2="http://schemas.microsoft.com/office/drawing/2015/06/chart">
            <c:ext xmlns:c16="http://schemas.microsoft.com/office/drawing/2014/chart" uri="{C3380CC4-5D6E-409C-BE32-E72D297353CC}">
              <c16:uniqueId val="{0000000F-7A6B-40B5-BABF-3DF697F82678}"/>
            </c:ext>
          </c:extLst>
        </c:ser>
        <c:ser>
          <c:idx val="16"/>
          <c:order val="16"/>
          <c:spPr>
            <a:ln w="28575" cap="rnd">
              <a:solidFill>
                <a:schemeClr val="accent5">
                  <a:lumMod val="80000"/>
                  <a:lumOff val="2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Sheet4!$C$45:$L$45</c:f>
              <c:numCache>
                <c:formatCode>General</c:formatCode>
                <c:ptCount val="10"/>
                <c:pt idx="0">
                  <c:v>3</c:v>
                </c:pt>
                <c:pt idx="1">
                  <c:v>9</c:v>
                </c:pt>
                <c:pt idx="2">
                  <c:v>12</c:v>
                </c:pt>
                <c:pt idx="3">
                  <c:v>14</c:v>
                </c:pt>
                <c:pt idx="4">
                  <c:v>15</c:v>
                </c:pt>
                <c:pt idx="5">
                  <c:v>14</c:v>
                </c:pt>
                <c:pt idx="6">
                  <c:v>14</c:v>
                </c:pt>
                <c:pt idx="7">
                  <c:v>14</c:v>
                </c:pt>
                <c:pt idx="8">
                  <c:v>13</c:v>
                </c:pt>
                <c:pt idx="9">
                  <c:v>11</c:v>
                </c:pt>
              </c:numCache>
            </c:numRef>
          </c:val>
          <c:smooth val="0"/>
          <c:extLst xmlns:c16r2="http://schemas.microsoft.com/office/drawing/2015/06/chart">
            <c:ext xmlns:c16="http://schemas.microsoft.com/office/drawing/2014/chart" uri="{C3380CC4-5D6E-409C-BE32-E72D297353CC}">
              <c16:uniqueId val="{00000010-7A6B-40B5-BABF-3DF697F82678}"/>
            </c:ext>
          </c:extLst>
        </c:ser>
        <c:ser>
          <c:idx val="17"/>
          <c:order val="17"/>
          <c:spPr>
            <a:ln w="28575" cap="rnd">
              <a:solidFill>
                <a:schemeClr val="accent6">
                  <a:lumMod val="80000"/>
                  <a:lumOff val="2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Sheet4!$C$46:$L$46</c:f>
              <c:numCache>
                <c:formatCode>General</c:formatCode>
                <c:ptCount val="10"/>
                <c:pt idx="0">
                  <c:v>2</c:v>
                </c:pt>
                <c:pt idx="1">
                  <c:v>4</c:v>
                </c:pt>
                <c:pt idx="2">
                  <c:v>5</c:v>
                </c:pt>
                <c:pt idx="3">
                  <c:v>6</c:v>
                </c:pt>
                <c:pt idx="4">
                  <c:v>7</c:v>
                </c:pt>
                <c:pt idx="5">
                  <c:v>8</c:v>
                </c:pt>
                <c:pt idx="6">
                  <c:v>9</c:v>
                </c:pt>
                <c:pt idx="7">
                  <c:v>9</c:v>
                </c:pt>
                <c:pt idx="8">
                  <c:v>9</c:v>
                </c:pt>
                <c:pt idx="9">
                  <c:v>9</c:v>
                </c:pt>
              </c:numCache>
            </c:numRef>
          </c:val>
          <c:smooth val="0"/>
          <c:extLst xmlns:c16r2="http://schemas.microsoft.com/office/drawing/2015/06/chart">
            <c:ext xmlns:c16="http://schemas.microsoft.com/office/drawing/2014/chart" uri="{C3380CC4-5D6E-409C-BE32-E72D297353CC}">
              <c16:uniqueId val="{00000011-7A6B-40B5-BABF-3DF697F82678}"/>
            </c:ext>
          </c:extLst>
        </c:ser>
        <c:ser>
          <c:idx val="18"/>
          <c:order val="18"/>
          <c:spPr>
            <a:ln w="28575" cap="rnd">
              <a:solidFill>
                <a:schemeClr val="accent1">
                  <a:lumMod val="8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Sheet4!$C$47:$L$47</c:f>
              <c:numCache>
                <c:formatCode>General</c:formatCode>
                <c:ptCount val="10"/>
                <c:pt idx="0">
                  <c:v>2</c:v>
                </c:pt>
                <c:pt idx="1">
                  <c:v>5</c:v>
                </c:pt>
                <c:pt idx="2">
                  <c:v>7</c:v>
                </c:pt>
                <c:pt idx="3">
                  <c:v>9</c:v>
                </c:pt>
                <c:pt idx="4">
                  <c:v>11</c:v>
                </c:pt>
                <c:pt idx="5">
                  <c:v>13</c:v>
                </c:pt>
                <c:pt idx="6">
                  <c:v>15</c:v>
                </c:pt>
                <c:pt idx="7">
                  <c:v>15</c:v>
                </c:pt>
                <c:pt idx="8">
                  <c:v>16</c:v>
                </c:pt>
                <c:pt idx="9">
                  <c:v>16</c:v>
                </c:pt>
              </c:numCache>
            </c:numRef>
          </c:val>
          <c:smooth val="0"/>
          <c:extLst xmlns:c16r2="http://schemas.microsoft.com/office/drawing/2015/06/chart">
            <c:ext xmlns:c16="http://schemas.microsoft.com/office/drawing/2014/chart" uri="{C3380CC4-5D6E-409C-BE32-E72D297353CC}">
              <c16:uniqueId val="{00000012-7A6B-40B5-BABF-3DF697F82678}"/>
            </c:ext>
          </c:extLst>
        </c:ser>
        <c:ser>
          <c:idx val="19"/>
          <c:order val="19"/>
          <c:spPr>
            <a:ln w="28575" cap="rnd">
              <a:solidFill>
                <a:schemeClr val="accent2">
                  <a:lumMod val="8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Sheet4!$C$48:$L$48</c:f>
              <c:numCache>
                <c:formatCode>General</c:formatCode>
                <c:ptCount val="10"/>
                <c:pt idx="0">
                  <c:v>1</c:v>
                </c:pt>
                <c:pt idx="1">
                  <c:v>2</c:v>
                </c:pt>
                <c:pt idx="2">
                  <c:v>2</c:v>
                </c:pt>
                <c:pt idx="3">
                  <c:v>3</c:v>
                </c:pt>
                <c:pt idx="4">
                  <c:v>3</c:v>
                </c:pt>
                <c:pt idx="5">
                  <c:v>3</c:v>
                </c:pt>
                <c:pt idx="6">
                  <c:v>3</c:v>
                </c:pt>
                <c:pt idx="7">
                  <c:v>4</c:v>
                </c:pt>
                <c:pt idx="8">
                  <c:v>4</c:v>
                </c:pt>
                <c:pt idx="9">
                  <c:v>4</c:v>
                </c:pt>
              </c:numCache>
            </c:numRef>
          </c:val>
          <c:smooth val="0"/>
          <c:extLst xmlns:c16r2="http://schemas.microsoft.com/office/drawing/2015/06/chart">
            <c:ext xmlns:c16="http://schemas.microsoft.com/office/drawing/2014/chart" uri="{C3380CC4-5D6E-409C-BE32-E72D297353CC}">
              <c16:uniqueId val="{00000013-7A6B-40B5-BABF-3DF697F82678}"/>
            </c:ext>
          </c:extLst>
        </c:ser>
        <c:ser>
          <c:idx val="20"/>
          <c:order val="20"/>
          <c:spPr>
            <a:ln w="28575" cap="rnd">
              <a:solidFill>
                <a:schemeClr val="accent3">
                  <a:lumMod val="8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Sheet4!$C$49:$L$49</c:f>
              <c:numCache>
                <c:formatCode>General</c:formatCode>
                <c:ptCount val="10"/>
                <c:pt idx="0">
                  <c:v>1</c:v>
                </c:pt>
                <c:pt idx="1">
                  <c:v>2</c:v>
                </c:pt>
                <c:pt idx="2">
                  <c:v>3</c:v>
                </c:pt>
                <c:pt idx="3">
                  <c:v>4</c:v>
                </c:pt>
                <c:pt idx="4">
                  <c:v>4</c:v>
                </c:pt>
                <c:pt idx="5">
                  <c:v>4</c:v>
                </c:pt>
                <c:pt idx="6">
                  <c:v>5</c:v>
                </c:pt>
                <c:pt idx="7">
                  <c:v>5</c:v>
                </c:pt>
                <c:pt idx="8">
                  <c:v>5</c:v>
                </c:pt>
                <c:pt idx="9">
                  <c:v>5</c:v>
                </c:pt>
              </c:numCache>
            </c:numRef>
          </c:val>
          <c:smooth val="0"/>
          <c:extLst xmlns:c16r2="http://schemas.microsoft.com/office/drawing/2015/06/chart">
            <c:ext xmlns:c16="http://schemas.microsoft.com/office/drawing/2014/chart" uri="{C3380CC4-5D6E-409C-BE32-E72D297353CC}">
              <c16:uniqueId val="{00000014-7A6B-40B5-BABF-3DF697F82678}"/>
            </c:ext>
          </c:extLst>
        </c:ser>
        <c:ser>
          <c:idx val="21"/>
          <c:order val="21"/>
          <c:spPr>
            <a:ln w="28575" cap="rnd">
              <a:solidFill>
                <a:schemeClr val="accent4">
                  <a:lumMod val="8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Sheet4!$C$50:$L$50</c:f>
              <c:numCache>
                <c:formatCode>General</c:formatCode>
                <c:ptCount val="10"/>
                <c:pt idx="0">
                  <c:v>0</c:v>
                </c:pt>
                <c:pt idx="1">
                  <c:v>0</c:v>
                </c:pt>
                <c:pt idx="2">
                  <c:v>1</c:v>
                </c:pt>
                <c:pt idx="3">
                  <c:v>1</c:v>
                </c:pt>
                <c:pt idx="4">
                  <c:v>2</c:v>
                </c:pt>
                <c:pt idx="5">
                  <c:v>2</c:v>
                </c:pt>
                <c:pt idx="6">
                  <c:v>1</c:v>
                </c:pt>
                <c:pt idx="7">
                  <c:v>1</c:v>
                </c:pt>
                <c:pt idx="8">
                  <c:v>0</c:v>
                </c:pt>
                <c:pt idx="9">
                  <c:v>0</c:v>
                </c:pt>
              </c:numCache>
            </c:numRef>
          </c:val>
          <c:smooth val="0"/>
          <c:extLst xmlns:c16r2="http://schemas.microsoft.com/office/drawing/2015/06/chart">
            <c:ext xmlns:c16="http://schemas.microsoft.com/office/drawing/2014/chart" uri="{C3380CC4-5D6E-409C-BE32-E72D297353CC}">
              <c16:uniqueId val="{00000015-7A6B-40B5-BABF-3DF697F82678}"/>
            </c:ext>
          </c:extLst>
        </c:ser>
        <c:ser>
          <c:idx val="22"/>
          <c:order val="22"/>
          <c:spPr>
            <a:ln w="28575" cap="rnd">
              <a:solidFill>
                <a:schemeClr val="accent5">
                  <a:lumMod val="8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Sheet4!$C$51:$L$51</c:f>
              <c:numCache>
                <c:formatCode>General</c:formatCode>
                <c:ptCount val="10"/>
                <c:pt idx="0">
                  <c:v>0</c:v>
                </c:pt>
                <c:pt idx="1">
                  <c:v>0</c:v>
                </c:pt>
                <c:pt idx="2">
                  <c:v>1</c:v>
                </c:pt>
                <c:pt idx="3">
                  <c:v>1</c:v>
                </c:pt>
                <c:pt idx="4">
                  <c:v>1</c:v>
                </c:pt>
                <c:pt idx="5">
                  <c:v>0</c:v>
                </c:pt>
                <c:pt idx="6">
                  <c:v>0</c:v>
                </c:pt>
                <c:pt idx="7">
                  <c:v>0</c:v>
                </c:pt>
                <c:pt idx="8">
                  <c:v>0</c:v>
                </c:pt>
                <c:pt idx="9">
                  <c:v>-1</c:v>
                </c:pt>
              </c:numCache>
            </c:numRef>
          </c:val>
          <c:smooth val="0"/>
          <c:extLst xmlns:c16r2="http://schemas.microsoft.com/office/drawing/2015/06/chart">
            <c:ext xmlns:c16="http://schemas.microsoft.com/office/drawing/2014/chart" uri="{C3380CC4-5D6E-409C-BE32-E72D297353CC}">
              <c16:uniqueId val="{00000016-7A6B-40B5-BABF-3DF697F82678}"/>
            </c:ext>
          </c:extLst>
        </c:ser>
        <c:ser>
          <c:idx val="23"/>
          <c:order val="23"/>
          <c:spPr>
            <a:ln w="28575" cap="rnd">
              <a:solidFill>
                <a:schemeClr val="accent6">
                  <a:lumMod val="8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Sheet4!$C$52:$L$52</c:f>
              <c:numCache>
                <c:formatCode>General</c:formatCode>
                <c:ptCount val="10"/>
                <c:pt idx="0">
                  <c:v>0</c:v>
                </c:pt>
                <c:pt idx="1">
                  <c:v>1</c:v>
                </c:pt>
                <c:pt idx="2">
                  <c:v>1</c:v>
                </c:pt>
                <c:pt idx="3">
                  <c:v>2</c:v>
                </c:pt>
                <c:pt idx="4">
                  <c:v>2</c:v>
                </c:pt>
                <c:pt idx="5">
                  <c:v>2</c:v>
                </c:pt>
                <c:pt idx="6">
                  <c:v>2</c:v>
                </c:pt>
                <c:pt idx="7">
                  <c:v>1</c:v>
                </c:pt>
                <c:pt idx="8">
                  <c:v>1</c:v>
                </c:pt>
                <c:pt idx="9">
                  <c:v>1</c:v>
                </c:pt>
              </c:numCache>
            </c:numRef>
          </c:val>
          <c:smooth val="0"/>
          <c:extLst xmlns:c16r2="http://schemas.microsoft.com/office/drawing/2015/06/chart">
            <c:ext xmlns:c16="http://schemas.microsoft.com/office/drawing/2014/chart" uri="{C3380CC4-5D6E-409C-BE32-E72D297353CC}">
              <c16:uniqueId val="{00000017-7A6B-40B5-BABF-3DF697F82678}"/>
            </c:ext>
          </c:extLst>
        </c:ser>
        <c:ser>
          <c:idx val="24"/>
          <c:order val="24"/>
          <c:spPr>
            <a:ln w="28575" cap="rnd">
              <a:solidFill>
                <a:schemeClr val="accent1">
                  <a:lumMod val="60000"/>
                  <a:lumOff val="4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Sheet4!$C$53:$L$53</c:f>
              <c:numCache>
                <c:formatCode>General</c:formatCode>
                <c:ptCount val="10"/>
                <c:pt idx="0">
                  <c:v>0</c:v>
                </c:pt>
                <c:pt idx="1">
                  <c:v>0</c:v>
                </c:pt>
                <c:pt idx="2">
                  <c:v>0</c:v>
                </c:pt>
                <c:pt idx="3">
                  <c:v>1</c:v>
                </c:pt>
                <c:pt idx="4">
                  <c:v>1</c:v>
                </c:pt>
                <c:pt idx="5">
                  <c:v>1</c:v>
                </c:pt>
                <c:pt idx="6">
                  <c:v>5</c:v>
                </c:pt>
                <c:pt idx="7">
                  <c:v>5</c:v>
                </c:pt>
                <c:pt idx="8">
                  <c:v>5</c:v>
                </c:pt>
                <c:pt idx="9">
                  <c:v>5</c:v>
                </c:pt>
              </c:numCache>
            </c:numRef>
          </c:val>
          <c:smooth val="0"/>
          <c:extLst xmlns:c16r2="http://schemas.microsoft.com/office/drawing/2015/06/chart">
            <c:ext xmlns:c16="http://schemas.microsoft.com/office/drawing/2014/chart" uri="{C3380CC4-5D6E-409C-BE32-E72D297353CC}">
              <c16:uniqueId val="{00000018-7A6B-40B5-BABF-3DF697F82678}"/>
            </c:ext>
          </c:extLst>
        </c:ser>
        <c:ser>
          <c:idx val="25"/>
          <c:order val="25"/>
          <c:spPr>
            <a:ln w="28575" cap="rnd">
              <a:solidFill>
                <a:schemeClr val="accent2">
                  <a:lumMod val="60000"/>
                  <a:lumOff val="40000"/>
                </a:schemeClr>
              </a:solidFill>
              <a:round/>
            </a:ln>
            <a:effectLst/>
          </c:spPr>
          <c:marker>
            <c:symbol val="none"/>
          </c:marker>
          <c:cat>
            <c:numRef>
              <c:f>Sheet4!$C$2:$L$2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Sheet4!$C$54:$L$54</c:f>
              <c:numCache>
                <c:formatCode>General</c:formatCode>
                <c:ptCount val="10"/>
                <c:pt idx="0">
                  <c:v>0</c:v>
                </c:pt>
                <c:pt idx="1">
                  <c:v>1</c:v>
                </c:pt>
                <c:pt idx="2">
                  <c:v>1</c:v>
                </c:pt>
                <c:pt idx="3">
                  <c:v>2</c:v>
                </c:pt>
                <c:pt idx="4">
                  <c:v>2</c:v>
                </c:pt>
                <c:pt idx="5">
                  <c:v>2</c:v>
                </c:pt>
                <c:pt idx="6">
                  <c:v>3</c:v>
                </c:pt>
                <c:pt idx="7">
                  <c:v>3</c:v>
                </c:pt>
                <c:pt idx="8">
                  <c:v>3</c:v>
                </c:pt>
                <c:pt idx="9">
                  <c:v>3</c:v>
                </c:pt>
              </c:numCache>
            </c:numRef>
          </c:val>
          <c:smooth val="0"/>
          <c:extLst xmlns:c16r2="http://schemas.microsoft.com/office/drawing/2015/06/chart">
            <c:ext xmlns:c16="http://schemas.microsoft.com/office/drawing/2014/chart" uri="{C3380CC4-5D6E-409C-BE32-E72D297353CC}">
              <c16:uniqueId val="{00000019-7A6B-40B5-BABF-3DF697F82678}"/>
            </c:ext>
          </c:extLst>
        </c:ser>
        <c:dLbls>
          <c:showLegendKey val="0"/>
          <c:showVal val="0"/>
          <c:showCatName val="0"/>
          <c:showSerName val="0"/>
          <c:showPercent val="0"/>
          <c:showBubbleSize val="0"/>
        </c:dLbls>
        <c:smooth val="0"/>
        <c:axId val="437062560"/>
        <c:axId val="437062952"/>
      </c:lineChart>
      <c:catAx>
        <c:axId val="437062560"/>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US" sz="1200"/>
                  <a:t>Line Section </a:t>
                </a:r>
              </a:p>
            </c:rich>
          </c:tx>
          <c:layout>
            <c:manualLayout>
              <c:xMode val="edge"/>
              <c:yMode val="edge"/>
              <c:x val="0.43835479595150934"/>
              <c:y val="0.87684016419513056"/>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437062952"/>
        <c:crosses val="autoZero"/>
        <c:auto val="1"/>
        <c:lblAlgn val="ctr"/>
        <c:lblOffset val="100"/>
        <c:noMultiLvlLbl val="0"/>
      </c:catAx>
      <c:valAx>
        <c:axId val="437062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US" sz="1200"/>
                  <a:t>Line Loss Reduction (kW) at Peak Load </a:t>
                </a:r>
              </a:p>
            </c:rich>
          </c:tx>
          <c:layout/>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43706256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200"/>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3566632339437207"/>
          <c:y val="6.2566749993892945E-2"/>
          <c:w val="0.80518693068754721"/>
          <c:h val="0.7887281876735418"/>
        </c:manualLayout>
      </c:layout>
      <c:lineChart>
        <c:grouping val="standard"/>
        <c:varyColors val="0"/>
        <c:ser>
          <c:idx val="0"/>
          <c:order val="0"/>
          <c:spPr>
            <a:ln w="28575" cap="rnd">
              <a:solidFill>
                <a:schemeClr val="accent1"/>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Sheet4!$O$29:$X$29</c:f>
              <c:numCache>
                <c:formatCode>General</c:formatCode>
                <c:ptCount val="10"/>
                <c:pt idx="0">
                  <c:v>5</c:v>
                </c:pt>
                <c:pt idx="1">
                  <c:v>9</c:v>
                </c:pt>
                <c:pt idx="2">
                  <c:v>13</c:v>
                </c:pt>
                <c:pt idx="3">
                  <c:v>19</c:v>
                </c:pt>
                <c:pt idx="4">
                  <c:v>25</c:v>
                </c:pt>
                <c:pt idx="5">
                  <c:v>29</c:v>
                </c:pt>
                <c:pt idx="6">
                  <c:v>32</c:v>
                </c:pt>
                <c:pt idx="7">
                  <c:v>33</c:v>
                </c:pt>
                <c:pt idx="8">
                  <c:v>33</c:v>
                </c:pt>
                <c:pt idx="9">
                  <c:v>25</c:v>
                </c:pt>
              </c:numCache>
            </c:numRef>
          </c:val>
          <c:smooth val="0"/>
          <c:extLst xmlns:c16r2="http://schemas.microsoft.com/office/drawing/2015/06/chart">
            <c:ext xmlns:c16="http://schemas.microsoft.com/office/drawing/2014/chart" uri="{C3380CC4-5D6E-409C-BE32-E72D297353CC}">
              <c16:uniqueId val="{00000000-F9CB-4FB3-9AC6-7DC73FE929E7}"/>
            </c:ext>
          </c:extLst>
        </c:ser>
        <c:ser>
          <c:idx val="1"/>
          <c:order val="1"/>
          <c:spPr>
            <a:ln w="28575" cap="rnd">
              <a:solidFill>
                <a:schemeClr val="accent2"/>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Sheet4!$O$30:$X$30</c:f>
              <c:numCache>
                <c:formatCode>General</c:formatCode>
                <c:ptCount val="10"/>
                <c:pt idx="0">
                  <c:v>7</c:v>
                </c:pt>
                <c:pt idx="1">
                  <c:v>18</c:v>
                </c:pt>
                <c:pt idx="2">
                  <c:v>26</c:v>
                </c:pt>
                <c:pt idx="3">
                  <c:v>38</c:v>
                </c:pt>
                <c:pt idx="4">
                  <c:v>42</c:v>
                </c:pt>
                <c:pt idx="5">
                  <c:v>45</c:v>
                </c:pt>
                <c:pt idx="6">
                  <c:v>46</c:v>
                </c:pt>
                <c:pt idx="7">
                  <c:v>42</c:v>
                </c:pt>
                <c:pt idx="8">
                  <c:v>29</c:v>
                </c:pt>
                <c:pt idx="9">
                  <c:v>19</c:v>
                </c:pt>
              </c:numCache>
            </c:numRef>
          </c:val>
          <c:smooth val="0"/>
          <c:extLst xmlns:c16r2="http://schemas.microsoft.com/office/drawing/2015/06/chart">
            <c:ext xmlns:c16="http://schemas.microsoft.com/office/drawing/2014/chart" uri="{C3380CC4-5D6E-409C-BE32-E72D297353CC}">
              <c16:uniqueId val="{00000001-F9CB-4FB3-9AC6-7DC73FE929E7}"/>
            </c:ext>
          </c:extLst>
        </c:ser>
        <c:ser>
          <c:idx val="2"/>
          <c:order val="2"/>
          <c:spPr>
            <a:ln w="28575" cap="rnd">
              <a:solidFill>
                <a:schemeClr val="accent3"/>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Sheet4!$O$31:$X$31</c:f>
              <c:numCache>
                <c:formatCode>General</c:formatCode>
                <c:ptCount val="10"/>
                <c:pt idx="0">
                  <c:v>17</c:v>
                </c:pt>
                <c:pt idx="1">
                  <c:v>31</c:v>
                </c:pt>
                <c:pt idx="2">
                  <c:v>49</c:v>
                </c:pt>
                <c:pt idx="3">
                  <c:v>76</c:v>
                </c:pt>
                <c:pt idx="4">
                  <c:v>96</c:v>
                </c:pt>
                <c:pt idx="5">
                  <c:v>100</c:v>
                </c:pt>
                <c:pt idx="6">
                  <c:v>106</c:v>
                </c:pt>
                <c:pt idx="7">
                  <c:v>107</c:v>
                </c:pt>
                <c:pt idx="8">
                  <c:v>103</c:v>
                </c:pt>
                <c:pt idx="9">
                  <c:v>81</c:v>
                </c:pt>
              </c:numCache>
            </c:numRef>
          </c:val>
          <c:smooth val="0"/>
          <c:extLst xmlns:c16r2="http://schemas.microsoft.com/office/drawing/2015/06/chart">
            <c:ext xmlns:c16="http://schemas.microsoft.com/office/drawing/2014/chart" uri="{C3380CC4-5D6E-409C-BE32-E72D297353CC}">
              <c16:uniqueId val="{00000002-F9CB-4FB3-9AC6-7DC73FE929E7}"/>
            </c:ext>
          </c:extLst>
        </c:ser>
        <c:ser>
          <c:idx val="3"/>
          <c:order val="3"/>
          <c:spPr>
            <a:ln w="28575" cap="rnd">
              <a:solidFill>
                <a:schemeClr val="accent4"/>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Sheet4!$O$32:$X$32</c:f>
              <c:numCache>
                <c:formatCode>General</c:formatCode>
                <c:ptCount val="10"/>
                <c:pt idx="0">
                  <c:v>9</c:v>
                </c:pt>
                <c:pt idx="1">
                  <c:v>22</c:v>
                </c:pt>
                <c:pt idx="2">
                  <c:v>34</c:v>
                </c:pt>
                <c:pt idx="3">
                  <c:v>46</c:v>
                </c:pt>
                <c:pt idx="4">
                  <c:v>60</c:v>
                </c:pt>
                <c:pt idx="5">
                  <c:v>67</c:v>
                </c:pt>
                <c:pt idx="6">
                  <c:v>69</c:v>
                </c:pt>
                <c:pt idx="7">
                  <c:v>68</c:v>
                </c:pt>
                <c:pt idx="8">
                  <c:v>62</c:v>
                </c:pt>
                <c:pt idx="9">
                  <c:v>54</c:v>
                </c:pt>
              </c:numCache>
            </c:numRef>
          </c:val>
          <c:smooth val="0"/>
          <c:extLst xmlns:c16r2="http://schemas.microsoft.com/office/drawing/2015/06/chart">
            <c:ext xmlns:c16="http://schemas.microsoft.com/office/drawing/2014/chart" uri="{C3380CC4-5D6E-409C-BE32-E72D297353CC}">
              <c16:uniqueId val="{00000003-F9CB-4FB3-9AC6-7DC73FE929E7}"/>
            </c:ext>
          </c:extLst>
        </c:ser>
        <c:ser>
          <c:idx val="4"/>
          <c:order val="4"/>
          <c:spPr>
            <a:ln w="28575" cap="rnd">
              <a:solidFill>
                <a:schemeClr val="accent5"/>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Sheet4!$O$33:$X$33</c:f>
              <c:numCache>
                <c:formatCode>General</c:formatCode>
                <c:ptCount val="10"/>
                <c:pt idx="0">
                  <c:v>3</c:v>
                </c:pt>
                <c:pt idx="1">
                  <c:v>6</c:v>
                </c:pt>
                <c:pt idx="2">
                  <c:v>9</c:v>
                </c:pt>
                <c:pt idx="3">
                  <c:v>13</c:v>
                </c:pt>
                <c:pt idx="4">
                  <c:v>17</c:v>
                </c:pt>
                <c:pt idx="5">
                  <c:v>23</c:v>
                </c:pt>
                <c:pt idx="6">
                  <c:v>27</c:v>
                </c:pt>
                <c:pt idx="7">
                  <c:v>26</c:v>
                </c:pt>
                <c:pt idx="8">
                  <c:v>25</c:v>
                </c:pt>
                <c:pt idx="9">
                  <c:v>21</c:v>
                </c:pt>
              </c:numCache>
            </c:numRef>
          </c:val>
          <c:smooth val="0"/>
          <c:extLst xmlns:c16r2="http://schemas.microsoft.com/office/drawing/2015/06/chart">
            <c:ext xmlns:c16="http://schemas.microsoft.com/office/drawing/2014/chart" uri="{C3380CC4-5D6E-409C-BE32-E72D297353CC}">
              <c16:uniqueId val="{00000004-F9CB-4FB3-9AC6-7DC73FE929E7}"/>
            </c:ext>
          </c:extLst>
        </c:ser>
        <c:ser>
          <c:idx val="5"/>
          <c:order val="5"/>
          <c:spPr>
            <a:ln w="28575" cap="rnd">
              <a:solidFill>
                <a:schemeClr val="accent6"/>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Sheet4!$O$34:$X$34</c:f>
              <c:numCache>
                <c:formatCode>General</c:formatCode>
                <c:ptCount val="10"/>
                <c:pt idx="0">
                  <c:v>10</c:v>
                </c:pt>
                <c:pt idx="1">
                  <c:v>21</c:v>
                </c:pt>
                <c:pt idx="2">
                  <c:v>35</c:v>
                </c:pt>
                <c:pt idx="3">
                  <c:v>46</c:v>
                </c:pt>
                <c:pt idx="4">
                  <c:v>71</c:v>
                </c:pt>
                <c:pt idx="5">
                  <c:v>84</c:v>
                </c:pt>
                <c:pt idx="6">
                  <c:v>87</c:v>
                </c:pt>
                <c:pt idx="7">
                  <c:v>86</c:v>
                </c:pt>
                <c:pt idx="8">
                  <c:v>82</c:v>
                </c:pt>
                <c:pt idx="9">
                  <c:v>80</c:v>
                </c:pt>
              </c:numCache>
            </c:numRef>
          </c:val>
          <c:smooth val="0"/>
          <c:extLst xmlns:c16r2="http://schemas.microsoft.com/office/drawing/2015/06/chart">
            <c:ext xmlns:c16="http://schemas.microsoft.com/office/drawing/2014/chart" uri="{C3380CC4-5D6E-409C-BE32-E72D297353CC}">
              <c16:uniqueId val="{00000005-F9CB-4FB3-9AC6-7DC73FE929E7}"/>
            </c:ext>
          </c:extLst>
        </c:ser>
        <c:ser>
          <c:idx val="6"/>
          <c:order val="6"/>
          <c:spPr>
            <a:ln w="28575" cap="rnd">
              <a:solidFill>
                <a:schemeClr val="accent1">
                  <a:lumMod val="6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Sheet4!$O$35:$X$35</c:f>
              <c:numCache>
                <c:formatCode>General</c:formatCode>
                <c:ptCount val="10"/>
                <c:pt idx="0">
                  <c:v>3</c:v>
                </c:pt>
                <c:pt idx="1">
                  <c:v>6</c:v>
                </c:pt>
                <c:pt idx="2">
                  <c:v>11</c:v>
                </c:pt>
                <c:pt idx="3">
                  <c:v>21</c:v>
                </c:pt>
                <c:pt idx="4">
                  <c:v>39</c:v>
                </c:pt>
                <c:pt idx="5">
                  <c:v>46</c:v>
                </c:pt>
                <c:pt idx="6">
                  <c:v>51</c:v>
                </c:pt>
                <c:pt idx="7">
                  <c:v>52</c:v>
                </c:pt>
                <c:pt idx="8">
                  <c:v>42</c:v>
                </c:pt>
                <c:pt idx="9">
                  <c:v>35</c:v>
                </c:pt>
              </c:numCache>
            </c:numRef>
          </c:val>
          <c:smooth val="0"/>
          <c:extLst xmlns:c16r2="http://schemas.microsoft.com/office/drawing/2015/06/chart">
            <c:ext xmlns:c16="http://schemas.microsoft.com/office/drawing/2014/chart" uri="{C3380CC4-5D6E-409C-BE32-E72D297353CC}">
              <c16:uniqueId val="{00000006-F9CB-4FB3-9AC6-7DC73FE929E7}"/>
            </c:ext>
          </c:extLst>
        </c:ser>
        <c:ser>
          <c:idx val="7"/>
          <c:order val="7"/>
          <c:spPr>
            <a:ln w="28575" cap="rnd">
              <a:solidFill>
                <a:schemeClr val="accent2">
                  <a:lumMod val="6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Sheet4!$O$36:$X$36</c:f>
              <c:numCache>
                <c:formatCode>General</c:formatCode>
                <c:ptCount val="10"/>
                <c:pt idx="0">
                  <c:v>20</c:v>
                </c:pt>
                <c:pt idx="1">
                  <c:v>35</c:v>
                </c:pt>
                <c:pt idx="2">
                  <c:v>63</c:v>
                </c:pt>
                <c:pt idx="3">
                  <c:v>81</c:v>
                </c:pt>
                <c:pt idx="4">
                  <c:v>106</c:v>
                </c:pt>
                <c:pt idx="5">
                  <c:v>122</c:v>
                </c:pt>
                <c:pt idx="6">
                  <c:v>174</c:v>
                </c:pt>
                <c:pt idx="7">
                  <c:v>169</c:v>
                </c:pt>
                <c:pt idx="8">
                  <c:v>160</c:v>
                </c:pt>
                <c:pt idx="9">
                  <c:v>130</c:v>
                </c:pt>
              </c:numCache>
            </c:numRef>
          </c:val>
          <c:smooth val="0"/>
          <c:extLst xmlns:c16r2="http://schemas.microsoft.com/office/drawing/2015/06/chart">
            <c:ext xmlns:c16="http://schemas.microsoft.com/office/drawing/2014/chart" uri="{C3380CC4-5D6E-409C-BE32-E72D297353CC}">
              <c16:uniqueId val="{00000007-F9CB-4FB3-9AC6-7DC73FE929E7}"/>
            </c:ext>
          </c:extLst>
        </c:ser>
        <c:ser>
          <c:idx val="8"/>
          <c:order val="8"/>
          <c:spPr>
            <a:ln w="28575" cap="rnd">
              <a:solidFill>
                <a:schemeClr val="accent3">
                  <a:lumMod val="6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Sheet4!$O$37:$X$37</c:f>
              <c:numCache>
                <c:formatCode>General</c:formatCode>
                <c:ptCount val="10"/>
                <c:pt idx="0">
                  <c:v>6</c:v>
                </c:pt>
                <c:pt idx="1">
                  <c:v>12</c:v>
                </c:pt>
                <c:pt idx="2">
                  <c:v>18</c:v>
                </c:pt>
                <c:pt idx="3">
                  <c:v>26</c:v>
                </c:pt>
                <c:pt idx="4">
                  <c:v>39</c:v>
                </c:pt>
                <c:pt idx="5">
                  <c:v>25</c:v>
                </c:pt>
                <c:pt idx="6">
                  <c:v>27</c:v>
                </c:pt>
                <c:pt idx="7">
                  <c:v>27</c:v>
                </c:pt>
                <c:pt idx="8">
                  <c:v>18</c:v>
                </c:pt>
                <c:pt idx="9">
                  <c:v>17</c:v>
                </c:pt>
              </c:numCache>
            </c:numRef>
          </c:val>
          <c:smooth val="0"/>
          <c:extLst xmlns:c16r2="http://schemas.microsoft.com/office/drawing/2015/06/chart">
            <c:ext xmlns:c16="http://schemas.microsoft.com/office/drawing/2014/chart" uri="{C3380CC4-5D6E-409C-BE32-E72D297353CC}">
              <c16:uniqueId val="{00000008-F9CB-4FB3-9AC6-7DC73FE929E7}"/>
            </c:ext>
          </c:extLst>
        </c:ser>
        <c:ser>
          <c:idx val="9"/>
          <c:order val="9"/>
          <c:spPr>
            <a:ln w="28575" cap="rnd">
              <a:solidFill>
                <a:schemeClr val="accent4">
                  <a:lumMod val="6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Sheet4!$O$38:$X$38</c:f>
              <c:numCache>
                <c:formatCode>General</c:formatCode>
                <c:ptCount val="10"/>
                <c:pt idx="0">
                  <c:v>15</c:v>
                </c:pt>
                <c:pt idx="1">
                  <c:v>24</c:v>
                </c:pt>
                <c:pt idx="2">
                  <c:v>30</c:v>
                </c:pt>
                <c:pt idx="3">
                  <c:v>32</c:v>
                </c:pt>
                <c:pt idx="4">
                  <c:v>33</c:v>
                </c:pt>
                <c:pt idx="5">
                  <c:v>34</c:v>
                </c:pt>
                <c:pt idx="6">
                  <c:v>36</c:v>
                </c:pt>
                <c:pt idx="7">
                  <c:v>36</c:v>
                </c:pt>
                <c:pt idx="8">
                  <c:v>35</c:v>
                </c:pt>
                <c:pt idx="9">
                  <c:v>35</c:v>
                </c:pt>
              </c:numCache>
            </c:numRef>
          </c:val>
          <c:smooth val="0"/>
          <c:extLst xmlns:c16r2="http://schemas.microsoft.com/office/drawing/2015/06/chart">
            <c:ext xmlns:c16="http://schemas.microsoft.com/office/drawing/2014/chart" uri="{C3380CC4-5D6E-409C-BE32-E72D297353CC}">
              <c16:uniqueId val="{00000009-F9CB-4FB3-9AC6-7DC73FE929E7}"/>
            </c:ext>
          </c:extLst>
        </c:ser>
        <c:ser>
          <c:idx val="10"/>
          <c:order val="10"/>
          <c:spPr>
            <a:ln w="28575" cap="rnd">
              <a:solidFill>
                <a:schemeClr val="accent5">
                  <a:lumMod val="6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Sheet4!$O$39:$X$39</c:f>
              <c:numCache>
                <c:formatCode>General</c:formatCode>
                <c:ptCount val="10"/>
                <c:pt idx="0">
                  <c:v>21</c:v>
                </c:pt>
                <c:pt idx="1">
                  <c:v>37</c:v>
                </c:pt>
                <c:pt idx="2">
                  <c:v>48</c:v>
                </c:pt>
                <c:pt idx="3">
                  <c:v>57</c:v>
                </c:pt>
                <c:pt idx="4">
                  <c:v>65</c:v>
                </c:pt>
                <c:pt idx="5">
                  <c:v>70</c:v>
                </c:pt>
                <c:pt idx="6">
                  <c:v>72</c:v>
                </c:pt>
                <c:pt idx="7">
                  <c:v>72</c:v>
                </c:pt>
                <c:pt idx="8">
                  <c:v>73</c:v>
                </c:pt>
                <c:pt idx="9">
                  <c:v>18</c:v>
                </c:pt>
              </c:numCache>
            </c:numRef>
          </c:val>
          <c:smooth val="0"/>
          <c:extLst xmlns:c16r2="http://schemas.microsoft.com/office/drawing/2015/06/chart">
            <c:ext xmlns:c16="http://schemas.microsoft.com/office/drawing/2014/chart" uri="{C3380CC4-5D6E-409C-BE32-E72D297353CC}">
              <c16:uniqueId val="{0000000A-F9CB-4FB3-9AC6-7DC73FE929E7}"/>
            </c:ext>
          </c:extLst>
        </c:ser>
        <c:ser>
          <c:idx val="11"/>
          <c:order val="11"/>
          <c:spPr>
            <a:ln w="28575" cap="rnd">
              <a:solidFill>
                <a:schemeClr val="accent6">
                  <a:lumMod val="6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Sheet4!$O$40:$X$40</c:f>
              <c:numCache>
                <c:formatCode>General</c:formatCode>
                <c:ptCount val="10"/>
                <c:pt idx="0">
                  <c:v>10</c:v>
                </c:pt>
                <c:pt idx="1">
                  <c:v>21</c:v>
                </c:pt>
                <c:pt idx="2">
                  <c:v>32</c:v>
                </c:pt>
                <c:pt idx="3">
                  <c:v>43</c:v>
                </c:pt>
                <c:pt idx="4">
                  <c:v>52</c:v>
                </c:pt>
                <c:pt idx="5">
                  <c:v>101</c:v>
                </c:pt>
                <c:pt idx="6">
                  <c:v>106</c:v>
                </c:pt>
                <c:pt idx="7">
                  <c:v>109</c:v>
                </c:pt>
                <c:pt idx="8">
                  <c:v>110</c:v>
                </c:pt>
                <c:pt idx="9">
                  <c:v>105</c:v>
                </c:pt>
              </c:numCache>
            </c:numRef>
          </c:val>
          <c:smooth val="0"/>
          <c:extLst xmlns:c16r2="http://schemas.microsoft.com/office/drawing/2015/06/chart">
            <c:ext xmlns:c16="http://schemas.microsoft.com/office/drawing/2014/chart" uri="{C3380CC4-5D6E-409C-BE32-E72D297353CC}">
              <c16:uniqueId val="{0000000B-F9CB-4FB3-9AC6-7DC73FE929E7}"/>
            </c:ext>
          </c:extLst>
        </c:ser>
        <c:ser>
          <c:idx val="12"/>
          <c:order val="12"/>
          <c:spPr>
            <a:ln w="28575" cap="rnd">
              <a:solidFill>
                <a:schemeClr val="accent1">
                  <a:lumMod val="80000"/>
                  <a:lumOff val="2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Sheet4!$O$41:$X$41</c:f>
              <c:numCache>
                <c:formatCode>General</c:formatCode>
                <c:ptCount val="10"/>
                <c:pt idx="0">
                  <c:v>19</c:v>
                </c:pt>
                <c:pt idx="1">
                  <c:v>37</c:v>
                </c:pt>
                <c:pt idx="2">
                  <c:v>57</c:v>
                </c:pt>
                <c:pt idx="3">
                  <c:v>109</c:v>
                </c:pt>
                <c:pt idx="4">
                  <c:v>109</c:v>
                </c:pt>
                <c:pt idx="5">
                  <c:v>109</c:v>
                </c:pt>
                <c:pt idx="6">
                  <c:v>109</c:v>
                </c:pt>
                <c:pt idx="7">
                  <c:v>107</c:v>
                </c:pt>
                <c:pt idx="8">
                  <c:v>102</c:v>
                </c:pt>
                <c:pt idx="9">
                  <c:v>88</c:v>
                </c:pt>
              </c:numCache>
            </c:numRef>
          </c:val>
          <c:smooth val="0"/>
          <c:extLst xmlns:c16r2="http://schemas.microsoft.com/office/drawing/2015/06/chart">
            <c:ext xmlns:c16="http://schemas.microsoft.com/office/drawing/2014/chart" uri="{C3380CC4-5D6E-409C-BE32-E72D297353CC}">
              <c16:uniqueId val="{0000000C-F9CB-4FB3-9AC6-7DC73FE929E7}"/>
            </c:ext>
          </c:extLst>
        </c:ser>
        <c:ser>
          <c:idx val="13"/>
          <c:order val="13"/>
          <c:spPr>
            <a:ln w="28575" cap="rnd">
              <a:solidFill>
                <a:schemeClr val="accent2">
                  <a:lumMod val="80000"/>
                  <a:lumOff val="2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Sheet4!$O$42:$X$42</c:f>
              <c:numCache>
                <c:formatCode>General</c:formatCode>
                <c:ptCount val="10"/>
                <c:pt idx="0">
                  <c:v>1</c:v>
                </c:pt>
                <c:pt idx="1">
                  <c:v>3</c:v>
                </c:pt>
                <c:pt idx="2">
                  <c:v>3</c:v>
                </c:pt>
                <c:pt idx="3">
                  <c:v>5</c:v>
                </c:pt>
                <c:pt idx="4">
                  <c:v>6</c:v>
                </c:pt>
                <c:pt idx="5">
                  <c:v>7</c:v>
                </c:pt>
                <c:pt idx="6">
                  <c:v>9</c:v>
                </c:pt>
                <c:pt idx="7">
                  <c:v>10</c:v>
                </c:pt>
                <c:pt idx="8">
                  <c:v>10</c:v>
                </c:pt>
                <c:pt idx="9">
                  <c:v>10</c:v>
                </c:pt>
              </c:numCache>
            </c:numRef>
          </c:val>
          <c:smooth val="0"/>
          <c:extLst xmlns:c16r2="http://schemas.microsoft.com/office/drawing/2015/06/chart">
            <c:ext xmlns:c16="http://schemas.microsoft.com/office/drawing/2014/chart" uri="{C3380CC4-5D6E-409C-BE32-E72D297353CC}">
              <c16:uniqueId val="{0000000D-F9CB-4FB3-9AC6-7DC73FE929E7}"/>
            </c:ext>
          </c:extLst>
        </c:ser>
        <c:ser>
          <c:idx val="14"/>
          <c:order val="14"/>
          <c:spPr>
            <a:ln w="28575" cap="rnd">
              <a:solidFill>
                <a:schemeClr val="accent3">
                  <a:lumMod val="80000"/>
                  <a:lumOff val="2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Sheet4!$O$43:$X$43</c:f>
              <c:numCache>
                <c:formatCode>General</c:formatCode>
                <c:ptCount val="10"/>
                <c:pt idx="0">
                  <c:v>18</c:v>
                </c:pt>
                <c:pt idx="1">
                  <c:v>36</c:v>
                </c:pt>
                <c:pt idx="2">
                  <c:v>58</c:v>
                </c:pt>
                <c:pt idx="3">
                  <c:v>82</c:v>
                </c:pt>
                <c:pt idx="4">
                  <c:v>88</c:v>
                </c:pt>
                <c:pt idx="5">
                  <c:v>99</c:v>
                </c:pt>
                <c:pt idx="6">
                  <c:v>109</c:v>
                </c:pt>
                <c:pt idx="7">
                  <c:v>105</c:v>
                </c:pt>
                <c:pt idx="8">
                  <c:v>59</c:v>
                </c:pt>
                <c:pt idx="9">
                  <c:v>57</c:v>
                </c:pt>
              </c:numCache>
            </c:numRef>
          </c:val>
          <c:smooth val="0"/>
          <c:extLst xmlns:c16r2="http://schemas.microsoft.com/office/drawing/2015/06/chart">
            <c:ext xmlns:c16="http://schemas.microsoft.com/office/drawing/2014/chart" uri="{C3380CC4-5D6E-409C-BE32-E72D297353CC}">
              <c16:uniqueId val="{0000000E-F9CB-4FB3-9AC6-7DC73FE929E7}"/>
            </c:ext>
          </c:extLst>
        </c:ser>
        <c:ser>
          <c:idx val="15"/>
          <c:order val="15"/>
          <c:spPr>
            <a:ln w="28575" cap="rnd">
              <a:solidFill>
                <a:schemeClr val="accent4">
                  <a:lumMod val="80000"/>
                  <a:lumOff val="2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Sheet4!$O$44:$X$44</c:f>
              <c:numCache>
                <c:formatCode>General</c:formatCode>
                <c:ptCount val="10"/>
                <c:pt idx="0">
                  <c:v>6</c:v>
                </c:pt>
                <c:pt idx="1">
                  <c:v>11</c:v>
                </c:pt>
                <c:pt idx="2">
                  <c:v>17</c:v>
                </c:pt>
                <c:pt idx="3">
                  <c:v>28</c:v>
                </c:pt>
                <c:pt idx="4">
                  <c:v>39</c:v>
                </c:pt>
                <c:pt idx="5">
                  <c:v>46</c:v>
                </c:pt>
                <c:pt idx="6">
                  <c:v>55</c:v>
                </c:pt>
                <c:pt idx="7">
                  <c:v>63</c:v>
                </c:pt>
                <c:pt idx="8">
                  <c:v>64</c:v>
                </c:pt>
                <c:pt idx="9">
                  <c:v>64</c:v>
                </c:pt>
              </c:numCache>
            </c:numRef>
          </c:val>
          <c:smooth val="0"/>
          <c:extLst xmlns:c16r2="http://schemas.microsoft.com/office/drawing/2015/06/chart">
            <c:ext xmlns:c16="http://schemas.microsoft.com/office/drawing/2014/chart" uri="{C3380CC4-5D6E-409C-BE32-E72D297353CC}">
              <c16:uniqueId val="{0000000F-F9CB-4FB3-9AC6-7DC73FE929E7}"/>
            </c:ext>
          </c:extLst>
        </c:ser>
        <c:ser>
          <c:idx val="16"/>
          <c:order val="16"/>
          <c:spPr>
            <a:ln w="28575" cap="rnd">
              <a:solidFill>
                <a:schemeClr val="accent5">
                  <a:lumMod val="80000"/>
                  <a:lumOff val="2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Sheet4!$O$45:$X$45</c:f>
              <c:numCache>
                <c:formatCode>General</c:formatCode>
                <c:ptCount val="10"/>
                <c:pt idx="0">
                  <c:v>8</c:v>
                </c:pt>
                <c:pt idx="1">
                  <c:v>17</c:v>
                </c:pt>
                <c:pt idx="2">
                  <c:v>23</c:v>
                </c:pt>
                <c:pt idx="3">
                  <c:v>31</c:v>
                </c:pt>
                <c:pt idx="4">
                  <c:v>33</c:v>
                </c:pt>
                <c:pt idx="5">
                  <c:v>33</c:v>
                </c:pt>
                <c:pt idx="6">
                  <c:v>33</c:v>
                </c:pt>
                <c:pt idx="7">
                  <c:v>32</c:v>
                </c:pt>
                <c:pt idx="8">
                  <c:v>31</c:v>
                </c:pt>
                <c:pt idx="9">
                  <c:v>30</c:v>
                </c:pt>
              </c:numCache>
            </c:numRef>
          </c:val>
          <c:smooth val="0"/>
          <c:extLst xmlns:c16r2="http://schemas.microsoft.com/office/drawing/2015/06/chart">
            <c:ext xmlns:c16="http://schemas.microsoft.com/office/drawing/2014/chart" uri="{C3380CC4-5D6E-409C-BE32-E72D297353CC}">
              <c16:uniqueId val="{00000010-F9CB-4FB3-9AC6-7DC73FE929E7}"/>
            </c:ext>
          </c:extLst>
        </c:ser>
        <c:ser>
          <c:idx val="17"/>
          <c:order val="17"/>
          <c:spPr>
            <a:ln w="28575" cap="rnd">
              <a:solidFill>
                <a:schemeClr val="accent6">
                  <a:lumMod val="80000"/>
                  <a:lumOff val="2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Sheet4!$O$46:$X$46</c:f>
              <c:numCache>
                <c:formatCode>General</c:formatCode>
                <c:ptCount val="10"/>
                <c:pt idx="0">
                  <c:v>4</c:v>
                </c:pt>
                <c:pt idx="1">
                  <c:v>7</c:v>
                </c:pt>
                <c:pt idx="2">
                  <c:v>12</c:v>
                </c:pt>
                <c:pt idx="3">
                  <c:v>14</c:v>
                </c:pt>
                <c:pt idx="4">
                  <c:v>15</c:v>
                </c:pt>
                <c:pt idx="5">
                  <c:v>16</c:v>
                </c:pt>
                <c:pt idx="6">
                  <c:v>18</c:v>
                </c:pt>
                <c:pt idx="7">
                  <c:v>20</c:v>
                </c:pt>
                <c:pt idx="8">
                  <c:v>21</c:v>
                </c:pt>
                <c:pt idx="9">
                  <c:v>21</c:v>
                </c:pt>
              </c:numCache>
            </c:numRef>
          </c:val>
          <c:smooth val="0"/>
          <c:extLst xmlns:c16r2="http://schemas.microsoft.com/office/drawing/2015/06/chart">
            <c:ext xmlns:c16="http://schemas.microsoft.com/office/drawing/2014/chart" uri="{C3380CC4-5D6E-409C-BE32-E72D297353CC}">
              <c16:uniqueId val="{00000011-F9CB-4FB3-9AC6-7DC73FE929E7}"/>
            </c:ext>
          </c:extLst>
        </c:ser>
        <c:ser>
          <c:idx val="18"/>
          <c:order val="18"/>
          <c:spPr>
            <a:ln w="28575" cap="rnd">
              <a:solidFill>
                <a:schemeClr val="accent1">
                  <a:lumMod val="8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Sheet4!$O$47:$X$47</c:f>
              <c:numCache>
                <c:formatCode>General</c:formatCode>
                <c:ptCount val="10"/>
                <c:pt idx="0">
                  <c:v>6</c:v>
                </c:pt>
                <c:pt idx="1">
                  <c:v>10</c:v>
                </c:pt>
                <c:pt idx="2">
                  <c:v>18</c:v>
                </c:pt>
                <c:pt idx="3">
                  <c:v>27</c:v>
                </c:pt>
                <c:pt idx="4">
                  <c:v>34</c:v>
                </c:pt>
                <c:pt idx="5">
                  <c:v>40</c:v>
                </c:pt>
                <c:pt idx="6">
                  <c:v>43</c:v>
                </c:pt>
                <c:pt idx="7">
                  <c:v>44</c:v>
                </c:pt>
                <c:pt idx="8">
                  <c:v>44</c:v>
                </c:pt>
                <c:pt idx="9">
                  <c:v>44</c:v>
                </c:pt>
              </c:numCache>
            </c:numRef>
          </c:val>
          <c:smooth val="0"/>
          <c:extLst xmlns:c16r2="http://schemas.microsoft.com/office/drawing/2015/06/chart">
            <c:ext xmlns:c16="http://schemas.microsoft.com/office/drawing/2014/chart" uri="{C3380CC4-5D6E-409C-BE32-E72D297353CC}">
              <c16:uniqueId val="{00000012-F9CB-4FB3-9AC6-7DC73FE929E7}"/>
            </c:ext>
          </c:extLst>
        </c:ser>
        <c:ser>
          <c:idx val="19"/>
          <c:order val="19"/>
          <c:spPr>
            <a:ln w="28575" cap="rnd">
              <a:solidFill>
                <a:schemeClr val="accent2">
                  <a:lumMod val="8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Sheet4!$O$48:$X$48</c:f>
              <c:numCache>
                <c:formatCode>General</c:formatCode>
                <c:ptCount val="10"/>
                <c:pt idx="0">
                  <c:v>3</c:v>
                </c:pt>
                <c:pt idx="1">
                  <c:v>5</c:v>
                </c:pt>
                <c:pt idx="2">
                  <c:v>5</c:v>
                </c:pt>
                <c:pt idx="3">
                  <c:v>5</c:v>
                </c:pt>
                <c:pt idx="4">
                  <c:v>6</c:v>
                </c:pt>
                <c:pt idx="5">
                  <c:v>11</c:v>
                </c:pt>
                <c:pt idx="6">
                  <c:v>12</c:v>
                </c:pt>
                <c:pt idx="7">
                  <c:v>9</c:v>
                </c:pt>
                <c:pt idx="8">
                  <c:v>4</c:v>
                </c:pt>
                <c:pt idx="9">
                  <c:v>3</c:v>
                </c:pt>
              </c:numCache>
            </c:numRef>
          </c:val>
          <c:smooth val="0"/>
          <c:extLst xmlns:c16r2="http://schemas.microsoft.com/office/drawing/2015/06/chart">
            <c:ext xmlns:c16="http://schemas.microsoft.com/office/drawing/2014/chart" uri="{C3380CC4-5D6E-409C-BE32-E72D297353CC}">
              <c16:uniqueId val="{00000013-F9CB-4FB3-9AC6-7DC73FE929E7}"/>
            </c:ext>
          </c:extLst>
        </c:ser>
        <c:ser>
          <c:idx val="20"/>
          <c:order val="20"/>
          <c:spPr>
            <a:ln w="28575" cap="rnd">
              <a:solidFill>
                <a:schemeClr val="accent3">
                  <a:lumMod val="8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Sheet4!$O$49:$X$49</c:f>
              <c:numCache>
                <c:formatCode>General</c:formatCode>
                <c:ptCount val="10"/>
                <c:pt idx="0">
                  <c:v>2</c:v>
                </c:pt>
                <c:pt idx="1">
                  <c:v>4</c:v>
                </c:pt>
                <c:pt idx="2">
                  <c:v>6</c:v>
                </c:pt>
                <c:pt idx="3">
                  <c:v>6</c:v>
                </c:pt>
                <c:pt idx="4">
                  <c:v>7</c:v>
                </c:pt>
                <c:pt idx="5">
                  <c:v>8</c:v>
                </c:pt>
                <c:pt idx="6">
                  <c:v>11</c:v>
                </c:pt>
                <c:pt idx="7">
                  <c:v>7</c:v>
                </c:pt>
                <c:pt idx="8">
                  <c:v>4</c:v>
                </c:pt>
                <c:pt idx="9">
                  <c:v>3</c:v>
                </c:pt>
              </c:numCache>
            </c:numRef>
          </c:val>
          <c:smooth val="0"/>
          <c:extLst xmlns:c16r2="http://schemas.microsoft.com/office/drawing/2015/06/chart">
            <c:ext xmlns:c16="http://schemas.microsoft.com/office/drawing/2014/chart" uri="{C3380CC4-5D6E-409C-BE32-E72D297353CC}">
              <c16:uniqueId val="{00000014-F9CB-4FB3-9AC6-7DC73FE929E7}"/>
            </c:ext>
          </c:extLst>
        </c:ser>
        <c:ser>
          <c:idx val="21"/>
          <c:order val="21"/>
          <c:spPr>
            <a:ln w="28575" cap="rnd">
              <a:solidFill>
                <a:schemeClr val="accent4">
                  <a:lumMod val="8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Sheet4!$O$50:$X$50</c:f>
              <c:numCache>
                <c:formatCode>General</c:formatCode>
                <c:ptCount val="10"/>
                <c:pt idx="0">
                  <c:v>1</c:v>
                </c:pt>
                <c:pt idx="1">
                  <c:v>1</c:v>
                </c:pt>
                <c:pt idx="2">
                  <c:v>2</c:v>
                </c:pt>
                <c:pt idx="3">
                  <c:v>2</c:v>
                </c:pt>
                <c:pt idx="4">
                  <c:v>3</c:v>
                </c:pt>
                <c:pt idx="5">
                  <c:v>4</c:v>
                </c:pt>
                <c:pt idx="6">
                  <c:v>5</c:v>
                </c:pt>
                <c:pt idx="7">
                  <c:v>5</c:v>
                </c:pt>
                <c:pt idx="8">
                  <c:v>5</c:v>
                </c:pt>
                <c:pt idx="9">
                  <c:v>4</c:v>
                </c:pt>
              </c:numCache>
            </c:numRef>
          </c:val>
          <c:smooth val="0"/>
          <c:extLst xmlns:c16r2="http://schemas.microsoft.com/office/drawing/2015/06/chart">
            <c:ext xmlns:c16="http://schemas.microsoft.com/office/drawing/2014/chart" uri="{C3380CC4-5D6E-409C-BE32-E72D297353CC}">
              <c16:uniqueId val="{00000015-F9CB-4FB3-9AC6-7DC73FE929E7}"/>
            </c:ext>
          </c:extLst>
        </c:ser>
        <c:ser>
          <c:idx val="22"/>
          <c:order val="22"/>
          <c:spPr>
            <a:ln w="28575" cap="rnd">
              <a:solidFill>
                <a:schemeClr val="accent5">
                  <a:lumMod val="8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Sheet4!$O$51:$X$51</c:f>
              <c:numCache>
                <c:formatCode>General</c:formatCode>
                <c:ptCount val="10"/>
                <c:pt idx="0">
                  <c:v>4</c:v>
                </c:pt>
                <c:pt idx="1">
                  <c:v>8</c:v>
                </c:pt>
                <c:pt idx="2">
                  <c:v>12</c:v>
                </c:pt>
                <c:pt idx="3">
                  <c:v>14</c:v>
                </c:pt>
                <c:pt idx="4">
                  <c:v>15</c:v>
                </c:pt>
                <c:pt idx="5">
                  <c:v>15</c:v>
                </c:pt>
                <c:pt idx="6">
                  <c:v>16</c:v>
                </c:pt>
                <c:pt idx="7">
                  <c:v>15</c:v>
                </c:pt>
                <c:pt idx="8">
                  <c:v>14</c:v>
                </c:pt>
                <c:pt idx="9">
                  <c:v>13</c:v>
                </c:pt>
              </c:numCache>
            </c:numRef>
          </c:val>
          <c:smooth val="0"/>
          <c:extLst xmlns:c16r2="http://schemas.microsoft.com/office/drawing/2015/06/chart">
            <c:ext xmlns:c16="http://schemas.microsoft.com/office/drawing/2014/chart" uri="{C3380CC4-5D6E-409C-BE32-E72D297353CC}">
              <c16:uniqueId val="{00000016-F9CB-4FB3-9AC6-7DC73FE929E7}"/>
            </c:ext>
          </c:extLst>
        </c:ser>
        <c:ser>
          <c:idx val="23"/>
          <c:order val="23"/>
          <c:spPr>
            <a:ln w="28575" cap="rnd">
              <a:solidFill>
                <a:schemeClr val="accent6">
                  <a:lumMod val="8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Sheet4!$O$52:$X$52</c:f>
              <c:numCache>
                <c:formatCode>General</c:formatCode>
                <c:ptCount val="10"/>
                <c:pt idx="0">
                  <c:v>0</c:v>
                </c:pt>
                <c:pt idx="1">
                  <c:v>1</c:v>
                </c:pt>
                <c:pt idx="2">
                  <c:v>1</c:v>
                </c:pt>
                <c:pt idx="3">
                  <c:v>2</c:v>
                </c:pt>
                <c:pt idx="4">
                  <c:v>2</c:v>
                </c:pt>
                <c:pt idx="5">
                  <c:v>5</c:v>
                </c:pt>
                <c:pt idx="6">
                  <c:v>2</c:v>
                </c:pt>
                <c:pt idx="7">
                  <c:v>2</c:v>
                </c:pt>
                <c:pt idx="8">
                  <c:v>1</c:v>
                </c:pt>
                <c:pt idx="9">
                  <c:v>1</c:v>
                </c:pt>
              </c:numCache>
            </c:numRef>
          </c:val>
          <c:smooth val="0"/>
          <c:extLst xmlns:c16r2="http://schemas.microsoft.com/office/drawing/2015/06/chart">
            <c:ext xmlns:c16="http://schemas.microsoft.com/office/drawing/2014/chart" uri="{C3380CC4-5D6E-409C-BE32-E72D297353CC}">
              <c16:uniqueId val="{00000017-F9CB-4FB3-9AC6-7DC73FE929E7}"/>
            </c:ext>
          </c:extLst>
        </c:ser>
        <c:ser>
          <c:idx val="24"/>
          <c:order val="24"/>
          <c:spPr>
            <a:ln w="28575" cap="rnd">
              <a:solidFill>
                <a:schemeClr val="accent1">
                  <a:lumMod val="60000"/>
                  <a:lumOff val="4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Sheet4!$O$53:$X$53</c:f>
              <c:numCache>
                <c:formatCode>General</c:formatCode>
                <c:ptCount val="10"/>
                <c:pt idx="0">
                  <c:v>1</c:v>
                </c:pt>
                <c:pt idx="1">
                  <c:v>3</c:v>
                </c:pt>
                <c:pt idx="2">
                  <c:v>5</c:v>
                </c:pt>
                <c:pt idx="3">
                  <c:v>7</c:v>
                </c:pt>
                <c:pt idx="4">
                  <c:v>9</c:v>
                </c:pt>
                <c:pt idx="5">
                  <c:v>11</c:v>
                </c:pt>
                <c:pt idx="6">
                  <c:v>13</c:v>
                </c:pt>
                <c:pt idx="7">
                  <c:v>12</c:v>
                </c:pt>
                <c:pt idx="8">
                  <c:v>10</c:v>
                </c:pt>
                <c:pt idx="9">
                  <c:v>8</c:v>
                </c:pt>
              </c:numCache>
            </c:numRef>
          </c:val>
          <c:smooth val="0"/>
          <c:extLst xmlns:c16r2="http://schemas.microsoft.com/office/drawing/2015/06/chart">
            <c:ext xmlns:c16="http://schemas.microsoft.com/office/drawing/2014/chart" uri="{C3380CC4-5D6E-409C-BE32-E72D297353CC}">
              <c16:uniqueId val="{00000018-F9CB-4FB3-9AC6-7DC73FE929E7}"/>
            </c:ext>
          </c:extLst>
        </c:ser>
        <c:ser>
          <c:idx val="25"/>
          <c:order val="25"/>
          <c:spPr>
            <a:ln w="28575" cap="rnd">
              <a:solidFill>
                <a:schemeClr val="accent2">
                  <a:lumMod val="60000"/>
                  <a:lumOff val="40000"/>
                </a:schemeClr>
              </a:solidFill>
              <a:round/>
            </a:ln>
            <a:effectLst/>
          </c:spPr>
          <c:marker>
            <c:symbol val="none"/>
          </c:marker>
          <c:cat>
            <c:numRef>
              <c:f>Sheet4!$O$2:$X$2</c:f>
              <c:numCache>
                <c:formatCode>0%</c:formatCode>
                <c:ptCount val="10"/>
                <c:pt idx="0">
                  <c:v>0.1</c:v>
                </c:pt>
                <c:pt idx="1">
                  <c:v>0.2</c:v>
                </c:pt>
                <c:pt idx="2">
                  <c:v>0.30000000000000004</c:v>
                </c:pt>
                <c:pt idx="3">
                  <c:v>0.4</c:v>
                </c:pt>
                <c:pt idx="4">
                  <c:v>0.5</c:v>
                </c:pt>
                <c:pt idx="5">
                  <c:v>0.6</c:v>
                </c:pt>
                <c:pt idx="6">
                  <c:v>0.7</c:v>
                </c:pt>
                <c:pt idx="7">
                  <c:v>0.79999999999999993</c:v>
                </c:pt>
                <c:pt idx="8">
                  <c:v>0.89999999999999991</c:v>
                </c:pt>
                <c:pt idx="9">
                  <c:v>0.99999999999999989</c:v>
                </c:pt>
              </c:numCache>
            </c:numRef>
          </c:cat>
          <c:val>
            <c:numRef>
              <c:f>Sheet4!$O$54:$X$54</c:f>
              <c:numCache>
                <c:formatCode>General</c:formatCode>
                <c:ptCount val="10"/>
                <c:pt idx="0">
                  <c:v>0</c:v>
                </c:pt>
                <c:pt idx="1">
                  <c:v>0</c:v>
                </c:pt>
                <c:pt idx="2">
                  <c:v>1</c:v>
                </c:pt>
                <c:pt idx="3">
                  <c:v>1</c:v>
                </c:pt>
                <c:pt idx="4">
                  <c:v>3</c:v>
                </c:pt>
                <c:pt idx="5">
                  <c:v>3</c:v>
                </c:pt>
                <c:pt idx="6">
                  <c:v>3</c:v>
                </c:pt>
                <c:pt idx="7">
                  <c:v>3</c:v>
                </c:pt>
                <c:pt idx="8">
                  <c:v>2</c:v>
                </c:pt>
                <c:pt idx="9">
                  <c:v>2</c:v>
                </c:pt>
              </c:numCache>
            </c:numRef>
          </c:val>
          <c:smooth val="0"/>
          <c:extLst xmlns:c16r2="http://schemas.microsoft.com/office/drawing/2015/06/chart">
            <c:ext xmlns:c16="http://schemas.microsoft.com/office/drawing/2014/chart" uri="{C3380CC4-5D6E-409C-BE32-E72D297353CC}">
              <c16:uniqueId val="{00000019-F9CB-4FB3-9AC6-7DC73FE929E7}"/>
            </c:ext>
          </c:extLst>
        </c:ser>
        <c:dLbls>
          <c:showLegendKey val="0"/>
          <c:showVal val="0"/>
          <c:showCatName val="0"/>
          <c:showSerName val="0"/>
          <c:showPercent val="0"/>
          <c:showBubbleSize val="0"/>
        </c:dLbls>
        <c:smooth val="0"/>
        <c:axId val="406878584"/>
        <c:axId val="406878976"/>
      </c:lineChart>
      <c:catAx>
        <c:axId val="406878584"/>
        <c:scaling>
          <c:orientation val="minMax"/>
        </c:scaling>
        <c:delete val="0"/>
        <c:axPos val="b"/>
        <c:title>
          <c:tx>
            <c:rich>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US" sz="1200"/>
                  <a:t>Line Section</a:t>
                </a:r>
              </a:p>
            </c:rich>
          </c:tx>
          <c:layou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878976"/>
        <c:crosses val="autoZero"/>
        <c:auto val="1"/>
        <c:lblAlgn val="ctr"/>
        <c:lblOffset val="100"/>
        <c:noMultiLvlLbl val="0"/>
      </c:catAx>
      <c:valAx>
        <c:axId val="4068789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US" sz="1200"/>
                  <a:t>Line</a:t>
                </a:r>
                <a:r>
                  <a:rPr lang="en-US" sz="1200" baseline="0"/>
                  <a:t> Loss Reduction (kW) at Median Load</a:t>
                </a:r>
                <a:endParaRPr lang="en-US" sz="1200"/>
              </a:p>
            </c:rich>
          </c:tx>
          <c:layout/>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068785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FD004E-3AA5-4E1F-A496-93AFCAC98F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TotalTime>
  <Pages>10</Pages>
  <Words>1394</Words>
  <Characters>7949</Characters>
  <Application>Microsoft Office Word</Application>
  <DocSecurity>0</DocSecurity>
  <Lines>66</Lines>
  <Paragraphs>18</Paragraphs>
  <ScaleCrop>false</ScaleCrop>
  <Company/>
  <LinksUpToDate>false</LinksUpToDate>
  <CharactersWithSpaces>9325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Castle</dc:creator>
  <cp:keywords/>
  <dc:description/>
  <cp:lastModifiedBy>David Castle</cp:lastModifiedBy>
  <cp:revision>36</cp:revision>
  <dcterms:created xsi:type="dcterms:W3CDTF">2017-11-17T18:34:00Z</dcterms:created>
  <dcterms:modified xsi:type="dcterms:W3CDTF">2017-11-22T21:42:00Z</dcterms:modified>
</cp:coreProperties>
</file>