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A9A6D7" w14:textId="73B4D487" w:rsidR="00A02DEA" w:rsidRPr="006B3453" w:rsidRDefault="00A02DEA" w:rsidP="00A02DEA">
      <w:pPr>
        <w:pStyle w:val="Title"/>
        <w:rPr>
          <w:sz w:val="48"/>
        </w:rPr>
      </w:pPr>
      <w:r>
        <w:rPr>
          <w:sz w:val="48"/>
        </w:rPr>
        <w:t xml:space="preserve">Item </w:t>
      </w:r>
      <w:r w:rsidR="004B655E">
        <w:rPr>
          <w:sz w:val="48"/>
        </w:rPr>
        <w:t xml:space="preserve">4.i: </w:t>
      </w:r>
      <w:r w:rsidR="00AE5DF6">
        <w:rPr>
          <w:sz w:val="48"/>
        </w:rPr>
        <w:t xml:space="preserve">Locational </w:t>
      </w:r>
      <w:r w:rsidR="004B655E">
        <w:rPr>
          <w:sz w:val="48"/>
        </w:rPr>
        <w:t>Avoided Energy</w:t>
      </w:r>
    </w:p>
    <w:p w14:paraId="35723F6D" w14:textId="5F61D5A1" w:rsidR="00A02DEA" w:rsidRDefault="00A02DEA" w:rsidP="00A02DEA">
      <w:pPr>
        <w:pStyle w:val="Subtitle"/>
        <w:spacing w:after="0"/>
      </w:pPr>
      <w:r>
        <w:t xml:space="preserve">Joint IOUs’ </w:t>
      </w:r>
      <w:r w:rsidR="0010474D">
        <w:t>Revised</w:t>
      </w:r>
      <w:bookmarkStart w:id="0" w:name="_GoBack"/>
      <w:bookmarkEnd w:id="0"/>
      <w:r>
        <w:t xml:space="preserve"> Proposal </w:t>
      </w:r>
    </w:p>
    <w:p w14:paraId="7AF810B6" w14:textId="77777777" w:rsidR="00A02DEA" w:rsidRDefault="00A02DEA" w:rsidP="00A02DEA">
      <w:pPr>
        <w:pStyle w:val="Subtitle"/>
        <w:spacing w:after="0"/>
      </w:pPr>
      <w:r>
        <w:t>LNBA Working Group</w:t>
      </w:r>
    </w:p>
    <w:p w14:paraId="19A60756" w14:textId="77777777" w:rsidR="00A02DEA" w:rsidRDefault="00A02DEA" w:rsidP="00A02DEA"/>
    <w:p w14:paraId="11743367" w14:textId="77777777" w:rsidR="00A02DEA" w:rsidRDefault="00A02DEA" w:rsidP="00A02DEA">
      <w:pPr>
        <w:pStyle w:val="Heading1"/>
        <w:spacing w:before="0"/>
      </w:pPr>
      <w:r>
        <w:t>Summary of Recommendations</w:t>
      </w:r>
    </w:p>
    <w:p w14:paraId="57C029DA" w14:textId="2C1F4F95" w:rsidR="004B6744" w:rsidRDefault="004B6744" w:rsidP="006C2416">
      <w:pPr>
        <w:pStyle w:val="ListParagraph"/>
        <w:numPr>
          <w:ilvl w:val="0"/>
          <w:numId w:val="7"/>
        </w:numPr>
        <w:spacing w:after="0"/>
      </w:pPr>
      <w:r>
        <w:t>Use IRP models to develop long-term forecasts of energy avoided cost at the DLAP level</w:t>
      </w:r>
    </w:p>
    <w:p w14:paraId="74A485BD" w14:textId="7B3CFA61" w:rsidR="004D59C4" w:rsidRDefault="002A6D7B" w:rsidP="006C2416">
      <w:pPr>
        <w:pStyle w:val="ListParagraph"/>
        <w:numPr>
          <w:ilvl w:val="0"/>
          <w:numId w:val="7"/>
        </w:numPr>
        <w:spacing w:after="0"/>
      </w:pPr>
      <w:r>
        <w:t xml:space="preserve">Use </w:t>
      </w:r>
      <w:r w:rsidR="004B6744">
        <w:t xml:space="preserve">a </w:t>
      </w:r>
      <w:r>
        <w:t>proxy methodology as an interim solution to develop DLAP price forecasts.</w:t>
      </w:r>
    </w:p>
    <w:p w14:paraId="6F263EE0" w14:textId="2123C0E4" w:rsidR="002A6D7B" w:rsidRDefault="002A6D7B" w:rsidP="006C2416">
      <w:pPr>
        <w:pStyle w:val="ListParagraph"/>
        <w:numPr>
          <w:ilvl w:val="0"/>
          <w:numId w:val="7"/>
        </w:numPr>
        <w:spacing w:after="0"/>
      </w:pPr>
      <w:r>
        <w:t xml:space="preserve">Once an IRP production cost model is built and vetted, </w:t>
      </w:r>
      <w:r w:rsidR="00AB073F">
        <w:t xml:space="preserve">consider using it </w:t>
      </w:r>
      <w:r>
        <w:t>to produce price forecasts to replace the proxy results.</w:t>
      </w:r>
    </w:p>
    <w:p w14:paraId="23D12396" w14:textId="2ECC283C" w:rsidR="002A6D7B" w:rsidRDefault="002A6D7B" w:rsidP="006C2416">
      <w:pPr>
        <w:pStyle w:val="ListParagraph"/>
        <w:numPr>
          <w:ilvl w:val="0"/>
          <w:numId w:val="7"/>
        </w:numPr>
        <w:spacing w:after="0"/>
      </w:pPr>
      <w:r>
        <w:t>Develop the price forecasts in the IDER as part of the update to the DERAC.</w:t>
      </w:r>
    </w:p>
    <w:p w14:paraId="4EEB2A8C" w14:textId="7BBE50D4" w:rsidR="002A6D7B" w:rsidRDefault="002A6D7B" w:rsidP="002A6D7B">
      <w:pPr>
        <w:pStyle w:val="ListParagraph"/>
        <w:numPr>
          <w:ilvl w:val="1"/>
          <w:numId w:val="7"/>
        </w:numPr>
        <w:spacing w:after="0"/>
      </w:pPr>
      <w:r>
        <w:t>Once adopted in the DERAC, the price forecast would be inputted into the LNBA tool.</w:t>
      </w:r>
    </w:p>
    <w:p w14:paraId="6AF30E79" w14:textId="77777777" w:rsidR="006C2416" w:rsidRPr="006B3453" w:rsidRDefault="006C2416" w:rsidP="006C2416">
      <w:pPr>
        <w:spacing w:after="0"/>
      </w:pPr>
    </w:p>
    <w:p w14:paraId="5CCB940C" w14:textId="77777777" w:rsidR="00A02DEA" w:rsidRDefault="00A02DEA" w:rsidP="00A02DEA">
      <w:pPr>
        <w:pStyle w:val="Heading1"/>
        <w:spacing w:before="0"/>
      </w:pPr>
      <w:r>
        <w:t>Introduction and Background</w:t>
      </w:r>
    </w:p>
    <w:p w14:paraId="08FB6901" w14:textId="070CCBC5" w:rsidR="00AF1DD1" w:rsidRDefault="00BE29B2" w:rsidP="00A02DEA">
      <w:pPr>
        <w:spacing w:after="0"/>
      </w:pPr>
      <w:r>
        <w:t xml:space="preserve">As part of the Distribution Resource Plan (DRP) Track 1’s Demonstration Project B (Demo B), </w:t>
      </w:r>
      <w:r w:rsidR="001D4FC8">
        <w:t xml:space="preserve">the </w:t>
      </w:r>
      <w:r w:rsidR="007908E7">
        <w:t xml:space="preserve">current </w:t>
      </w:r>
      <w:r w:rsidR="001D4FC8">
        <w:t>avoided energy price forecast was obtained from the 2016 Distribution Energy Resource Avoided Calculator</w:t>
      </w:r>
      <w:r w:rsidR="00B94CA0">
        <w:t xml:space="preserve"> (DERAC</w:t>
      </w:r>
      <w:r w:rsidR="007908E7">
        <w:t>, also known as the 2016 Avoided Cost Model</w:t>
      </w:r>
      <w:r w:rsidR="00B94CA0">
        <w:t xml:space="preserve">). In the DERAC, the energy price forecast is determined in two steps. The first step determines an average annual system wide energy price. This annual energy price represents the price necessary to keep a CCGT “whole”. In other words, the energy price plus capacity revenues must equal the fixed and variable costs of the CCGT. The second step shapes </w:t>
      </w:r>
      <w:r w:rsidR="00342A21">
        <w:t xml:space="preserve">the annual price to hourly values. </w:t>
      </w:r>
      <w:r w:rsidR="00D80623">
        <w:t xml:space="preserve">The </w:t>
      </w:r>
      <w:r w:rsidR="007908E7">
        <w:t xml:space="preserve">DERAC </w:t>
      </w:r>
      <w:r w:rsidR="00D80623">
        <w:t xml:space="preserve">utilizes </w:t>
      </w:r>
      <w:r w:rsidR="007908E7">
        <w:t xml:space="preserve">2015 </w:t>
      </w:r>
      <w:r w:rsidR="00D80623">
        <w:t xml:space="preserve">day-ahead prices for NP-15 and SP-15 </w:t>
      </w:r>
      <w:r w:rsidR="007908E7">
        <w:t xml:space="preserve">that are adjusted for forecasted heat rate changes from the RPS Calculator </w:t>
      </w:r>
      <w:r w:rsidR="00D80623">
        <w:t xml:space="preserve">to determine hourly heat rate </w:t>
      </w:r>
      <w:r w:rsidR="007908E7">
        <w:t>shapes</w:t>
      </w:r>
      <w:r w:rsidR="00D80623">
        <w:t>. Applying the shape to the annual en</w:t>
      </w:r>
      <w:r w:rsidR="00315BAA">
        <w:t>ergy provides the DERAC with a</w:t>
      </w:r>
      <w:r w:rsidR="00AB073F">
        <w:t>n hourly</w:t>
      </w:r>
      <w:r w:rsidR="00315BAA">
        <w:t xml:space="preserve"> NP-15 and a SP-15</w:t>
      </w:r>
      <w:r w:rsidR="00D80623">
        <w:t xml:space="preserve"> energy price forecast.</w:t>
      </w:r>
    </w:p>
    <w:p w14:paraId="36F95428" w14:textId="77777777" w:rsidR="00D80623" w:rsidRDefault="00D80623" w:rsidP="00A02DEA">
      <w:pPr>
        <w:spacing w:after="0"/>
      </w:pPr>
    </w:p>
    <w:p w14:paraId="08FEB02F" w14:textId="4B6084AF" w:rsidR="00F15FD2" w:rsidRDefault="00D80623" w:rsidP="00A02DEA">
      <w:pPr>
        <w:spacing w:after="0"/>
      </w:pPr>
      <w:r>
        <w:t xml:space="preserve">As part of the long term refinements for LNBA, the working group was tasked to explore more locational avoided energy price forecasts. In the July working group meeting, the IOUs proposed using three default load aggregation point (DLAP) price </w:t>
      </w:r>
      <w:r w:rsidR="00510D77">
        <w:t>forecasts, one for each IOU, as an improveme</w:t>
      </w:r>
      <w:r w:rsidR="00CE2EF2">
        <w:t>nt to the</w:t>
      </w:r>
      <w:r w:rsidR="00AB073F">
        <w:t xml:space="preserve"> current</w:t>
      </w:r>
      <w:r w:rsidR="00CE2EF2">
        <w:t xml:space="preserve"> DERAC forecasts. To serve load, the IOUs pay the DLAP price. Thus, in an avoided cost methodology, the DLAP price represents the proper value for</w:t>
      </w:r>
      <w:r w:rsidR="00AB073F">
        <w:t xml:space="preserve"> avoided</w:t>
      </w:r>
      <w:r w:rsidR="00CE2EF2">
        <w:t xml:space="preserve"> energy prices</w:t>
      </w:r>
      <w:r w:rsidR="00AB073F">
        <w:t xml:space="preserve"> from DER</w:t>
      </w:r>
      <w:r w:rsidR="00CE2EF2">
        <w:t>.</w:t>
      </w:r>
      <w:r w:rsidR="00D135AE">
        <w:t xml:space="preserve"> </w:t>
      </w:r>
      <w:r w:rsidR="00F15FD2">
        <w:t>The IOUs requested that E3 provide analysis and methodologies assessing the IOU proposal.</w:t>
      </w:r>
    </w:p>
    <w:p w14:paraId="2FF7FA45" w14:textId="77777777" w:rsidR="00A02DEA" w:rsidRDefault="00A02DEA" w:rsidP="00A02DEA">
      <w:pPr>
        <w:spacing w:after="0"/>
      </w:pPr>
    </w:p>
    <w:p w14:paraId="5748F7AA" w14:textId="77777777" w:rsidR="00A02DEA" w:rsidRDefault="00A02DEA" w:rsidP="00A02DEA">
      <w:pPr>
        <w:pStyle w:val="Heading1"/>
        <w:spacing w:before="0"/>
      </w:pPr>
      <w:r>
        <w:t>Discussion</w:t>
      </w:r>
    </w:p>
    <w:p w14:paraId="2EE567F1" w14:textId="67160AA4" w:rsidR="00A43BF5" w:rsidRDefault="00C024C1" w:rsidP="00A02DEA">
      <w:pPr>
        <w:spacing w:after="0"/>
      </w:pPr>
      <w:r>
        <w:t xml:space="preserve">In the November working group meeting, E3 provided an overview of their findings. During the discussion, E3 </w:t>
      </w:r>
      <w:r w:rsidR="00AB073F">
        <w:t>presented</w:t>
      </w:r>
      <w:r>
        <w:t xml:space="preserve"> two options avail</w:t>
      </w:r>
      <w:r w:rsidR="00A43BF5">
        <w:t>able to develop DLAP forecasts.</w:t>
      </w:r>
    </w:p>
    <w:p w14:paraId="47009BC9" w14:textId="77777777" w:rsidR="00A43BF5" w:rsidRDefault="00A43BF5" w:rsidP="00A02DEA">
      <w:pPr>
        <w:spacing w:after="0"/>
      </w:pPr>
    </w:p>
    <w:p w14:paraId="33356CC0" w14:textId="1559A459" w:rsidR="00A02DEA" w:rsidRDefault="00C024C1" w:rsidP="00A02DEA">
      <w:pPr>
        <w:spacing w:after="0"/>
      </w:pPr>
      <w:r>
        <w:t xml:space="preserve">The first </w:t>
      </w:r>
      <w:r w:rsidR="007908E7">
        <w:t xml:space="preserve">option </w:t>
      </w:r>
      <w:r>
        <w:t xml:space="preserve">is to utilize a similar approach to the methodology used in the DERAC. This proxy methodology would utilize </w:t>
      </w:r>
      <w:r w:rsidR="007908E7">
        <w:t>recent</w:t>
      </w:r>
      <w:r>
        <w:t xml:space="preserve"> historical or forecasted hourly DLAP energy prices modified by heat rate factors to obtain hourly energy prices forecasts. The heat rate factors would be obtained from the </w:t>
      </w:r>
      <w:r w:rsidR="007908E7">
        <w:t xml:space="preserve">CPUC’s </w:t>
      </w:r>
      <w:r w:rsidR="0065139F">
        <w:t xml:space="preserve">Integrated Resource Plan (IRP) </w:t>
      </w:r>
      <w:r w:rsidR="007908E7">
        <w:t xml:space="preserve">RESOLVE </w:t>
      </w:r>
      <w:r w:rsidR="0065139F">
        <w:t xml:space="preserve">model. By utilizing the IRP </w:t>
      </w:r>
      <w:r w:rsidR="007908E7">
        <w:t xml:space="preserve">RESOLVE </w:t>
      </w:r>
      <w:r w:rsidR="0065139F">
        <w:t>model, the heat rate factors would incorporate the</w:t>
      </w:r>
      <w:r w:rsidR="00294E8A">
        <w:t xml:space="preserve"> future</w:t>
      </w:r>
      <w:r w:rsidR="0065139F">
        <w:t xml:space="preserve"> impacts of California policy (e.g., SB350 and </w:t>
      </w:r>
      <w:r w:rsidR="00A43BF5">
        <w:t xml:space="preserve">Governor’s 2030 Greenhouse Gas Reduction goal). The proxy method would improve the current DERAC methodology </w:t>
      </w:r>
      <w:r w:rsidR="007908E7">
        <w:t xml:space="preserve">(1) </w:t>
      </w:r>
      <w:r w:rsidR="00A43BF5">
        <w:lastRenderedPageBreak/>
        <w:t>by providing</w:t>
      </w:r>
      <w:r w:rsidR="00132528">
        <w:t xml:space="preserve"> more locational granularity </w:t>
      </w:r>
      <w:r w:rsidR="007908E7">
        <w:t xml:space="preserve">(because it utilizes hourly DLAP energy prices) </w:t>
      </w:r>
      <w:r w:rsidR="00132528">
        <w:t>and</w:t>
      </w:r>
      <w:r w:rsidR="007908E7">
        <w:t xml:space="preserve"> (2) by</w:t>
      </w:r>
      <w:r w:rsidR="00A43BF5">
        <w:t xml:space="preserve"> utilizing updated heat rate factors</w:t>
      </w:r>
      <w:r w:rsidR="007908E7">
        <w:t xml:space="preserve"> that are consistent with the IRP</w:t>
      </w:r>
      <w:r w:rsidR="00132528">
        <w:t>.</w:t>
      </w:r>
      <w:r w:rsidR="00E96383">
        <w:t xml:space="preserve"> In addition, this proxy methodology could be implemented in a relatively short time. However, additional analysis of the results from the proxy methodology would be necessary to ensure the validity of the price forecast. For example, the Resolve model only uses 37 representative daytypes to simplify the modeling</w:t>
      </w:r>
      <w:r w:rsidR="008B5BFF">
        <w:t xml:space="preserve">. These 37 daytypes would </w:t>
      </w:r>
      <w:r w:rsidR="007908E7">
        <w:t xml:space="preserve">need to </w:t>
      </w:r>
      <w:r w:rsidR="008B5BFF">
        <w:t>be matched to all hours of the year to develop the heat rate factors. When transitioning from one daytype to another, there is the potential for the price forecast to change suddenly due to the difference in daytypes.</w:t>
      </w:r>
    </w:p>
    <w:p w14:paraId="75E6D8D0" w14:textId="77777777" w:rsidR="00E96383" w:rsidRDefault="00E96383" w:rsidP="00A02DEA">
      <w:pPr>
        <w:spacing w:after="0"/>
      </w:pPr>
    </w:p>
    <w:p w14:paraId="79E0CA92" w14:textId="6381BE64" w:rsidR="00DA35DA" w:rsidRDefault="00E96383" w:rsidP="00DA35DA">
      <w:pPr>
        <w:spacing w:after="0"/>
      </w:pPr>
      <w:r>
        <w:t xml:space="preserve">The second option </w:t>
      </w:r>
      <w:r w:rsidR="008B5BFF">
        <w:t xml:space="preserve">would be to utilize a </w:t>
      </w:r>
      <w:r w:rsidR="00294E8A">
        <w:t xml:space="preserve">full annual, hourly </w:t>
      </w:r>
      <w:r w:rsidR="008B5BFF">
        <w:t xml:space="preserve">production cost model to develop price forecasts. </w:t>
      </w:r>
      <w:r w:rsidR="00204703">
        <w:t xml:space="preserve">A production cost model simulates the grid by minimizing the cost of operating the grid subjected to constraints such as serving load, </w:t>
      </w:r>
      <w:r w:rsidR="00294E8A">
        <w:t xml:space="preserve">individual generator </w:t>
      </w:r>
      <w:r w:rsidR="00204703">
        <w:t>operation</w:t>
      </w:r>
      <w:r w:rsidR="00294E8A">
        <w:t xml:space="preserve">al </w:t>
      </w:r>
      <w:r w:rsidR="00960BD7">
        <w:t>constraints</w:t>
      </w:r>
      <w:r w:rsidR="00204703">
        <w:t xml:space="preserve">, and transmission limits. Thus, a production cost model would be able to provide a more </w:t>
      </w:r>
      <w:r w:rsidR="007908E7">
        <w:t xml:space="preserve">detailed and precise </w:t>
      </w:r>
      <w:r w:rsidR="00204703">
        <w:t>view of future prices</w:t>
      </w:r>
      <w:r w:rsidR="007908E7">
        <w:t>, especially by location if locational price differences change over time in response to load, resource, or transmission changes</w:t>
      </w:r>
      <w:r w:rsidR="00204703">
        <w:t xml:space="preserve">. </w:t>
      </w:r>
      <w:r w:rsidR="00385BF5">
        <w:t xml:space="preserve">The IRP proceeding currently is planning to develop a </w:t>
      </w:r>
      <w:r w:rsidR="00DC2A04">
        <w:t>SERVM</w:t>
      </w:r>
      <w:r w:rsidR="00385BF5">
        <w:t xml:space="preserve"> model</w:t>
      </w:r>
      <w:r w:rsidR="00DC2A04">
        <w:t>, a hybrid resource adequacy and production cost software,</w:t>
      </w:r>
      <w:r w:rsidR="00385BF5">
        <w:t xml:space="preserve"> to further assess the im</w:t>
      </w:r>
      <w:r w:rsidR="0088333A">
        <w:t xml:space="preserve">pacts of scenarios on the grid and would </w:t>
      </w:r>
      <w:r w:rsidR="00294E8A">
        <w:t xml:space="preserve">also </w:t>
      </w:r>
      <w:r w:rsidR="0088333A">
        <w:t xml:space="preserve">incorporate </w:t>
      </w:r>
      <w:r w:rsidR="00294E8A">
        <w:t xml:space="preserve">future effects of </w:t>
      </w:r>
      <w:r w:rsidR="0088333A">
        <w:t>California policy</w:t>
      </w:r>
      <w:r w:rsidR="0044577E">
        <w:t xml:space="preserve"> which could potentially be leveraged to provide an energy forecast</w:t>
      </w:r>
      <w:r w:rsidR="0088333A">
        <w:t xml:space="preserve">. </w:t>
      </w:r>
      <w:r w:rsidR="0044577E">
        <w:t>While SERVM can provide an energy foreca</w:t>
      </w:r>
      <w:r w:rsidR="00DC2A04">
        <w:t>st, the software is more focused</w:t>
      </w:r>
      <w:r w:rsidR="0044577E">
        <w:t xml:space="preserve"> on resource adequacy. Because of SERVM’s focus on resource adequacy, it may be necessary to translate the SERVM model to a more dispatch based production cost model (e.g., PLEXOS, AURORA, or Gridview) which could provide a robust energy forecast. T</w:t>
      </w:r>
      <w:r w:rsidR="00E14FA8">
        <w:t>he IRP</w:t>
      </w:r>
      <w:r w:rsidR="0044577E">
        <w:t>’s</w:t>
      </w:r>
      <w:r w:rsidR="00E14FA8">
        <w:t xml:space="preserve"> </w:t>
      </w:r>
      <w:r w:rsidR="0044577E">
        <w:t>SERVM model</w:t>
      </w:r>
      <w:r w:rsidR="00E14FA8">
        <w:t xml:space="preserve"> is not expected to be finished until the middle of 2018. Additional vetting or analysis may need to occur to validate the results from </w:t>
      </w:r>
      <w:r w:rsidR="00836D81">
        <w:t>any</w:t>
      </w:r>
      <w:r w:rsidR="00E14FA8">
        <w:t xml:space="preserve"> production cost model.</w:t>
      </w:r>
    </w:p>
    <w:p w14:paraId="4F2FD48B" w14:textId="5CB627CC" w:rsidR="002A6D7B" w:rsidRDefault="002A6D7B" w:rsidP="002A6D7B">
      <w:pPr>
        <w:pStyle w:val="Heading1"/>
      </w:pPr>
      <w:r>
        <w:t>Recommendation</w:t>
      </w:r>
    </w:p>
    <w:p w14:paraId="251CFB67" w14:textId="29C322F2" w:rsidR="00DA35DA" w:rsidRPr="00A02DEA" w:rsidRDefault="00C71448" w:rsidP="00DA35DA">
      <w:pPr>
        <w:spacing w:after="0"/>
      </w:pPr>
      <w:r>
        <w:t xml:space="preserve">Based on the availability and benefits of the above two methodologies, the IOUs recommend using the proxy methodology as an interim solution to provide locational DLAP price forecasts. Once </w:t>
      </w:r>
      <w:r w:rsidR="0044577E">
        <w:t xml:space="preserve">an </w:t>
      </w:r>
      <w:r>
        <w:t>IRP production cost model is ready and has been validated, the IOUs recommend that the interim methodology results be replaced with the production cost model results</w:t>
      </w:r>
      <w:r w:rsidR="00494E80">
        <w:t xml:space="preserve">, assuming that </w:t>
      </w:r>
      <w:r w:rsidR="00F810DC">
        <w:t>the production cost model price forecast would be more accurate</w:t>
      </w:r>
      <w:r>
        <w:t xml:space="preserve">. </w:t>
      </w:r>
      <w:r w:rsidR="00F810DC">
        <w:t xml:space="preserve">Finally, the </w:t>
      </w:r>
      <w:r w:rsidR="00BF209D">
        <w:t>IOUs recommend that the development of the prices using the proposed phased approach should be done in annual update to the DERAC as part of the IDER proceeding. This would allow stakeholders to review the results of the methodology, leverage the existing process to update the DERAC, and fulfill the DRP Track 1 decision to inform the DERAC of improvements from the LNBA cost effectiveness use case. Once adopted in an updated DERAC, the LNBA tool would be updated to reflect the changes for the LNBA deferral use case.</w:t>
      </w:r>
    </w:p>
    <w:sectPr w:rsidR="00DA35DA" w:rsidRPr="00A02DE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CEED0D" w14:textId="77777777" w:rsidR="008D23F5" w:rsidRDefault="008D23F5" w:rsidP="00A02DEA">
      <w:pPr>
        <w:spacing w:after="0" w:line="240" w:lineRule="auto"/>
      </w:pPr>
      <w:r>
        <w:separator/>
      </w:r>
    </w:p>
  </w:endnote>
  <w:endnote w:type="continuationSeparator" w:id="0">
    <w:p w14:paraId="74C35EF1" w14:textId="77777777" w:rsidR="008D23F5" w:rsidRDefault="008D23F5" w:rsidP="00A02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ACBFC1" w14:textId="77777777" w:rsidR="008D23F5" w:rsidRDefault="008D23F5" w:rsidP="00A02DEA">
      <w:pPr>
        <w:spacing w:after="0" w:line="240" w:lineRule="auto"/>
      </w:pPr>
      <w:r>
        <w:separator/>
      </w:r>
    </w:p>
  </w:footnote>
  <w:footnote w:type="continuationSeparator" w:id="0">
    <w:p w14:paraId="6D85E735" w14:textId="77777777" w:rsidR="008D23F5" w:rsidRDefault="008D23F5" w:rsidP="00A02D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60587F"/>
    <w:multiLevelType w:val="hybridMultilevel"/>
    <w:tmpl w:val="C37E55C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58255B"/>
    <w:multiLevelType w:val="hybridMultilevel"/>
    <w:tmpl w:val="9D3206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831532"/>
    <w:multiLevelType w:val="hybridMultilevel"/>
    <w:tmpl w:val="C750F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F92FB7"/>
    <w:multiLevelType w:val="hybridMultilevel"/>
    <w:tmpl w:val="86DE684C"/>
    <w:lvl w:ilvl="0" w:tplc="597A02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725266"/>
    <w:multiLevelType w:val="hybridMultilevel"/>
    <w:tmpl w:val="5C5EF63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E30706"/>
    <w:multiLevelType w:val="hybridMultilevel"/>
    <w:tmpl w:val="EE3271B4"/>
    <w:lvl w:ilvl="0" w:tplc="60A88E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2"/>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1D6"/>
    <w:rsid w:val="00025DC2"/>
    <w:rsid w:val="000B29E3"/>
    <w:rsid w:val="0010474D"/>
    <w:rsid w:val="00124D58"/>
    <w:rsid w:val="00132528"/>
    <w:rsid w:val="00133251"/>
    <w:rsid w:val="00146C80"/>
    <w:rsid w:val="00163015"/>
    <w:rsid w:val="001C3ABF"/>
    <w:rsid w:val="001D4FC8"/>
    <w:rsid w:val="00204703"/>
    <w:rsid w:val="00210EA7"/>
    <w:rsid w:val="00284140"/>
    <w:rsid w:val="00294E8A"/>
    <w:rsid w:val="002A6D7B"/>
    <w:rsid w:val="00315BAA"/>
    <w:rsid w:val="00342A21"/>
    <w:rsid w:val="00343B61"/>
    <w:rsid w:val="00385BF5"/>
    <w:rsid w:val="00441AE1"/>
    <w:rsid w:val="0044577E"/>
    <w:rsid w:val="00494E80"/>
    <w:rsid w:val="004A6C49"/>
    <w:rsid w:val="004B655E"/>
    <w:rsid w:val="004B6744"/>
    <w:rsid w:val="004C4F54"/>
    <w:rsid w:val="004D59C4"/>
    <w:rsid w:val="00510D77"/>
    <w:rsid w:val="00545DBE"/>
    <w:rsid w:val="005971E8"/>
    <w:rsid w:val="0065139F"/>
    <w:rsid w:val="0069151D"/>
    <w:rsid w:val="006A2E5F"/>
    <w:rsid w:val="006C2416"/>
    <w:rsid w:val="007908E7"/>
    <w:rsid w:val="00794567"/>
    <w:rsid w:val="007A25A2"/>
    <w:rsid w:val="007B4E60"/>
    <w:rsid w:val="007C1C7C"/>
    <w:rsid w:val="007C45AE"/>
    <w:rsid w:val="007F38F9"/>
    <w:rsid w:val="00801398"/>
    <w:rsid w:val="008178AC"/>
    <w:rsid w:val="00836D81"/>
    <w:rsid w:val="008612DB"/>
    <w:rsid w:val="0088333A"/>
    <w:rsid w:val="008B5BFF"/>
    <w:rsid w:val="008D23F5"/>
    <w:rsid w:val="00960BD7"/>
    <w:rsid w:val="00960D50"/>
    <w:rsid w:val="00964042"/>
    <w:rsid w:val="009939EE"/>
    <w:rsid w:val="009A0C8C"/>
    <w:rsid w:val="00A02DEA"/>
    <w:rsid w:val="00A43BF5"/>
    <w:rsid w:val="00A63965"/>
    <w:rsid w:val="00AB073F"/>
    <w:rsid w:val="00AB41D6"/>
    <w:rsid w:val="00AE5DF6"/>
    <w:rsid w:val="00AF1DD1"/>
    <w:rsid w:val="00B0147B"/>
    <w:rsid w:val="00B609C3"/>
    <w:rsid w:val="00B94CA0"/>
    <w:rsid w:val="00B95D31"/>
    <w:rsid w:val="00BB35B4"/>
    <w:rsid w:val="00BE29B2"/>
    <w:rsid w:val="00BF209D"/>
    <w:rsid w:val="00C024C1"/>
    <w:rsid w:val="00C15657"/>
    <w:rsid w:val="00C22B2D"/>
    <w:rsid w:val="00C23D61"/>
    <w:rsid w:val="00C53CFC"/>
    <w:rsid w:val="00C71448"/>
    <w:rsid w:val="00CD44C3"/>
    <w:rsid w:val="00CD7AED"/>
    <w:rsid w:val="00CE2EF2"/>
    <w:rsid w:val="00D135AE"/>
    <w:rsid w:val="00D80623"/>
    <w:rsid w:val="00DA35DA"/>
    <w:rsid w:val="00DA3E7A"/>
    <w:rsid w:val="00DC24B3"/>
    <w:rsid w:val="00DC2A04"/>
    <w:rsid w:val="00DD1EDA"/>
    <w:rsid w:val="00DE5C39"/>
    <w:rsid w:val="00E14FA8"/>
    <w:rsid w:val="00E15506"/>
    <w:rsid w:val="00E20D1A"/>
    <w:rsid w:val="00E42A0F"/>
    <w:rsid w:val="00E96383"/>
    <w:rsid w:val="00F15FD2"/>
    <w:rsid w:val="00F406F9"/>
    <w:rsid w:val="00F810DC"/>
    <w:rsid w:val="00FA01E5"/>
    <w:rsid w:val="00FA0802"/>
    <w:rsid w:val="00FA1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00040"/>
  <w15:docId w15:val="{59185384-F3B1-4BF6-B6FD-C55ADBFBA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2DEA"/>
  </w:style>
  <w:style w:type="paragraph" w:styleId="Heading1">
    <w:name w:val="heading 1"/>
    <w:basedOn w:val="Normal"/>
    <w:next w:val="Normal"/>
    <w:link w:val="Heading1Char"/>
    <w:uiPriority w:val="9"/>
    <w:qFormat/>
    <w:rsid w:val="00A02DE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332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DEA"/>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A02DEA"/>
    <w:pPr>
      <w:ind w:left="720"/>
      <w:contextualSpacing/>
    </w:pPr>
  </w:style>
  <w:style w:type="paragraph" w:styleId="Title">
    <w:name w:val="Title"/>
    <w:basedOn w:val="Normal"/>
    <w:next w:val="Normal"/>
    <w:link w:val="TitleChar"/>
    <w:uiPriority w:val="10"/>
    <w:qFormat/>
    <w:rsid w:val="00A02D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2D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2DE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02DEA"/>
    <w:rPr>
      <w:rFonts w:eastAsiaTheme="minorEastAsia"/>
      <w:color w:val="5A5A5A" w:themeColor="text1" w:themeTint="A5"/>
      <w:spacing w:val="15"/>
    </w:rPr>
  </w:style>
  <w:style w:type="paragraph" w:styleId="FootnoteText">
    <w:name w:val="footnote text"/>
    <w:basedOn w:val="Normal"/>
    <w:link w:val="FootnoteTextChar"/>
    <w:uiPriority w:val="99"/>
    <w:semiHidden/>
    <w:unhideWhenUsed/>
    <w:rsid w:val="00A02D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2DEA"/>
    <w:rPr>
      <w:sz w:val="20"/>
      <w:szCs w:val="20"/>
    </w:rPr>
  </w:style>
  <w:style w:type="character" w:styleId="FootnoteReference">
    <w:name w:val="footnote reference"/>
    <w:basedOn w:val="DefaultParagraphFont"/>
    <w:uiPriority w:val="99"/>
    <w:semiHidden/>
    <w:unhideWhenUsed/>
    <w:rsid w:val="00A02DEA"/>
    <w:rPr>
      <w:vertAlign w:val="superscript"/>
    </w:rPr>
  </w:style>
  <w:style w:type="character" w:styleId="CommentReference">
    <w:name w:val="annotation reference"/>
    <w:basedOn w:val="DefaultParagraphFont"/>
    <w:uiPriority w:val="99"/>
    <w:semiHidden/>
    <w:unhideWhenUsed/>
    <w:rsid w:val="00A63965"/>
    <w:rPr>
      <w:sz w:val="16"/>
      <w:szCs w:val="16"/>
    </w:rPr>
  </w:style>
  <w:style w:type="paragraph" w:styleId="CommentText">
    <w:name w:val="annotation text"/>
    <w:basedOn w:val="Normal"/>
    <w:link w:val="CommentTextChar"/>
    <w:uiPriority w:val="99"/>
    <w:semiHidden/>
    <w:unhideWhenUsed/>
    <w:rsid w:val="00A63965"/>
    <w:pPr>
      <w:spacing w:line="240" w:lineRule="auto"/>
    </w:pPr>
    <w:rPr>
      <w:sz w:val="20"/>
      <w:szCs w:val="20"/>
    </w:rPr>
  </w:style>
  <w:style w:type="character" w:customStyle="1" w:styleId="CommentTextChar">
    <w:name w:val="Comment Text Char"/>
    <w:basedOn w:val="DefaultParagraphFont"/>
    <w:link w:val="CommentText"/>
    <w:uiPriority w:val="99"/>
    <w:semiHidden/>
    <w:rsid w:val="00A63965"/>
    <w:rPr>
      <w:sz w:val="20"/>
      <w:szCs w:val="20"/>
    </w:rPr>
  </w:style>
  <w:style w:type="paragraph" w:styleId="CommentSubject">
    <w:name w:val="annotation subject"/>
    <w:basedOn w:val="CommentText"/>
    <w:next w:val="CommentText"/>
    <w:link w:val="CommentSubjectChar"/>
    <w:uiPriority w:val="99"/>
    <w:semiHidden/>
    <w:unhideWhenUsed/>
    <w:rsid w:val="00A63965"/>
    <w:rPr>
      <w:b/>
      <w:bCs/>
    </w:rPr>
  </w:style>
  <w:style w:type="character" w:customStyle="1" w:styleId="CommentSubjectChar">
    <w:name w:val="Comment Subject Char"/>
    <w:basedOn w:val="CommentTextChar"/>
    <w:link w:val="CommentSubject"/>
    <w:uiPriority w:val="99"/>
    <w:semiHidden/>
    <w:rsid w:val="00A63965"/>
    <w:rPr>
      <w:b/>
      <w:bCs/>
      <w:sz w:val="20"/>
      <w:szCs w:val="20"/>
    </w:rPr>
  </w:style>
  <w:style w:type="paragraph" w:styleId="BalloonText">
    <w:name w:val="Balloon Text"/>
    <w:basedOn w:val="Normal"/>
    <w:link w:val="BalloonTextChar"/>
    <w:uiPriority w:val="99"/>
    <w:semiHidden/>
    <w:unhideWhenUsed/>
    <w:rsid w:val="00A639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965"/>
    <w:rPr>
      <w:rFonts w:ascii="Segoe UI" w:hAnsi="Segoe UI" w:cs="Segoe UI"/>
      <w:sz w:val="18"/>
      <w:szCs w:val="18"/>
    </w:rPr>
  </w:style>
  <w:style w:type="character" w:customStyle="1" w:styleId="Heading2Char">
    <w:name w:val="Heading 2 Char"/>
    <w:basedOn w:val="DefaultParagraphFont"/>
    <w:link w:val="Heading2"/>
    <w:uiPriority w:val="9"/>
    <w:rsid w:val="00133251"/>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575</TotalTime>
  <Pages>2</Pages>
  <Words>892</Words>
  <Characters>5088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Maurice Ahyow</dc:creator>
  <cp:keywords/>
  <dc:description/>
  <cp:lastModifiedBy>David Castle</cp:lastModifiedBy>
  <cp:revision>36</cp:revision>
  <dcterms:created xsi:type="dcterms:W3CDTF">2017-11-16T19:24:00Z</dcterms:created>
  <dcterms:modified xsi:type="dcterms:W3CDTF">2017-11-22T21:45:00Z</dcterms:modified>
</cp:coreProperties>
</file>