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F21A84" w14:textId="08BA38B7" w:rsidR="00FF013A" w:rsidRPr="00561B48" w:rsidRDefault="00A802D3">
      <w:pPr>
        <w:rPr>
          <w:b/>
          <w:sz w:val="22"/>
          <w:szCs w:val="22"/>
          <w:u w:val="single"/>
        </w:rPr>
      </w:pPr>
      <w:r w:rsidRPr="00561B48">
        <w:rPr>
          <w:b/>
          <w:sz w:val="22"/>
          <w:szCs w:val="22"/>
          <w:u w:val="single"/>
        </w:rPr>
        <w:t xml:space="preserve">TURN Comments on Tesla and SEIA Proposal for an Avoided Cost Value Related to </w:t>
      </w:r>
      <w:r w:rsidR="00821D96" w:rsidRPr="00561B48">
        <w:rPr>
          <w:b/>
          <w:sz w:val="22"/>
          <w:szCs w:val="22"/>
          <w:u w:val="single"/>
        </w:rPr>
        <w:t>Conservation Voltage Reduction f</w:t>
      </w:r>
      <w:r w:rsidRPr="00561B48">
        <w:rPr>
          <w:b/>
          <w:sz w:val="22"/>
          <w:szCs w:val="22"/>
          <w:u w:val="single"/>
        </w:rPr>
        <w:t>rom Solar Generation</w:t>
      </w:r>
    </w:p>
    <w:p w14:paraId="30F00136" w14:textId="77777777" w:rsidR="0012579B" w:rsidRPr="00561B48" w:rsidRDefault="0012579B">
      <w:pPr>
        <w:rPr>
          <w:sz w:val="22"/>
          <w:szCs w:val="22"/>
        </w:rPr>
      </w:pPr>
    </w:p>
    <w:p w14:paraId="026B447F" w14:textId="599B56D7" w:rsidR="00965F50" w:rsidRPr="00561B48" w:rsidRDefault="0012579B" w:rsidP="00965F50">
      <w:pPr>
        <w:rPr>
          <w:i/>
          <w:sz w:val="22"/>
          <w:szCs w:val="22"/>
        </w:rPr>
      </w:pPr>
      <w:r w:rsidRPr="00561B48">
        <w:rPr>
          <w:sz w:val="22"/>
          <w:szCs w:val="22"/>
        </w:rPr>
        <w:t xml:space="preserve">TURN appreciates the </w:t>
      </w:r>
      <w:r w:rsidR="00E663F9" w:rsidRPr="00561B48">
        <w:rPr>
          <w:sz w:val="22"/>
          <w:szCs w:val="22"/>
        </w:rPr>
        <w:t>information provided by Tesla and SEIA regarding</w:t>
      </w:r>
      <w:r w:rsidR="00856ECA" w:rsidRPr="00561B48">
        <w:rPr>
          <w:sz w:val="22"/>
          <w:szCs w:val="22"/>
        </w:rPr>
        <w:t xml:space="preserve"> the potential for avoided costs related to conservation voltage reduction</w:t>
      </w:r>
      <w:r w:rsidR="005F5413" w:rsidRPr="00561B48">
        <w:rPr>
          <w:sz w:val="22"/>
          <w:szCs w:val="22"/>
        </w:rPr>
        <w:t xml:space="preserve"> (CVR)</w:t>
      </w:r>
      <w:r w:rsidR="00856ECA" w:rsidRPr="00561B48">
        <w:rPr>
          <w:sz w:val="22"/>
          <w:szCs w:val="22"/>
        </w:rPr>
        <w:t xml:space="preserve"> from solar systems. </w:t>
      </w:r>
      <w:r w:rsidR="00965F50" w:rsidRPr="00561B48">
        <w:rPr>
          <w:sz w:val="22"/>
          <w:szCs w:val="22"/>
        </w:rPr>
        <w:t>TURN’s guiding principle for development of the LNBA is that any avoided cost</w:t>
      </w:r>
      <w:r w:rsidR="004022AF" w:rsidRPr="00561B48">
        <w:rPr>
          <w:sz w:val="22"/>
          <w:szCs w:val="22"/>
        </w:rPr>
        <w:t xml:space="preserve"> (benefit)</w:t>
      </w:r>
      <w:r w:rsidR="00965F50" w:rsidRPr="00561B48">
        <w:rPr>
          <w:sz w:val="22"/>
          <w:szCs w:val="22"/>
        </w:rPr>
        <w:t xml:space="preserve"> included in the tool must be </w:t>
      </w:r>
      <w:r w:rsidR="004022AF" w:rsidRPr="00561B48">
        <w:rPr>
          <w:sz w:val="22"/>
          <w:szCs w:val="22"/>
        </w:rPr>
        <w:t>actually captured</w:t>
      </w:r>
      <w:r w:rsidR="00965F50" w:rsidRPr="00561B48">
        <w:rPr>
          <w:sz w:val="22"/>
          <w:szCs w:val="22"/>
        </w:rPr>
        <w:t xml:space="preserve"> by all ratepayers</w:t>
      </w:r>
      <w:r w:rsidR="00A47F58" w:rsidRPr="00561B48">
        <w:rPr>
          <w:sz w:val="22"/>
          <w:szCs w:val="22"/>
        </w:rPr>
        <w:t xml:space="preserve"> (or at least have a reasonable probability of doing so)</w:t>
      </w:r>
      <w:r w:rsidR="00965F50" w:rsidRPr="00561B48">
        <w:rPr>
          <w:sz w:val="22"/>
          <w:szCs w:val="22"/>
        </w:rPr>
        <w:t>. The inclusion of a CVR benefit for DERs does not meet this basic premise because the benefit described by Tes</w:t>
      </w:r>
      <w:r w:rsidR="005A78A3" w:rsidRPr="00561B48">
        <w:rPr>
          <w:sz w:val="22"/>
          <w:szCs w:val="22"/>
        </w:rPr>
        <w:t xml:space="preserve">la/SEIA is entirely theoretical; </w:t>
      </w:r>
      <w:r w:rsidR="00965F50" w:rsidRPr="00561B48">
        <w:rPr>
          <w:sz w:val="22"/>
          <w:szCs w:val="22"/>
        </w:rPr>
        <w:t xml:space="preserve">any </w:t>
      </w:r>
      <w:r w:rsidR="00340B80" w:rsidRPr="00561B48">
        <w:rPr>
          <w:sz w:val="22"/>
          <w:szCs w:val="22"/>
        </w:rPr>
        <w:t xml:space="preserve">avoided cost </w:t>
      </w:r>
      <w:r w:rsidR="00965F50" w:rsidRPr="00561B48">
        <w:rPr>
          <w:sz w:val="22"/>
          <w:szCs w:val="22"/>
        </w:rPr>
        <w:t>value</w:t>
      </w:r>
      <w:r w:rsidR="005A78A3" w:rsidRPr="00561B48">
        <w:rPr>
          <w:sz w:val="22"/>
          <w:szCs w:val="22"/>
        </w:rPr>
        <w:t xml:space="preserve"> for CVR</w:t>
      </w:r>
      <w:r w:rsidR="00340B80" w:rsidRPr="00561B48">
        <w:rPr>
          <w:sz w:val="22"/>
          <w:szCs w:val="22"/>
        </w:rPr>
        <w:t xml:space="preserve"> ascribed to solar will not actually be avoided and accrue to ratepayers</w:t>
      </w:r>
      <w:r w:rsidR="00965F50" w:rsidRPr="00561B48">
        <w:rPr>
          <w:sz w:val="22"/>
          <w:szCs w:val="22"/>
        </w:rPr>
        <w:t>. The only way the LNBA tool can provide additional value over the status quo is if it</w:t>
      </w:r>
      <w:r w:rsidR="00340B80" w:rsidRPr="00561B48">
        <w:rPr>
          <w:sz w:val="22"/>
          <w:szCs w:val="22"/>
        </w:rPr>
        <w:t xml:space="preserve"> maintains analytical rigor to include benefits that actually accrue to ratepayers; this is not the case with CVR</w:t>
      </w:r>
      <w:r w:rsidR="00561B48" w:rsidRPr="00561B48">
        <w:rPr>
          <w:sz w:val="22"/>
          <w:szCs w:val="22"/>
        </w:rPr>
        <w:t xml:space="preserve"> due to distributed solar generation</w:t>
      </w:r>
      <w:r w:rsidR="00340B80" w:rsidRPr="00561B48">
        <w:rPr>
          <w:sz w:val="22"/>
          <w:szCs w:val="22"/>
        </w:rPr>
        <w:t xml:space="preserve"> at this time. </w:t>
      </w:r>
    </w:p>
    <w:p w14:paraId="682F6160" w14:textId="77777777" w:rsidR="00965F50" w:rsidRPr="00561B48" w:rsidRDefault="00965F50" w:rsidP="00965F50">
      <w:pPr>
        <w:rPr>
          <w:sz w:val="22"/>
          <w:szCs w:val="22"/>
        </w:rPr>
      </w:pPr>
    </w:p>
    <w:p w14:paraId="7CB78447" w14:textId="13327E09" w:rsidR="00965F50" w:rsidRPr="00561B48" w:rsidRDefault="00965F50" w:rsidP="00965F50">
      <w:pPr>
        <w:rPr>
          <w:sz w:val="22"/>
          <w:szCs w:val="22"/>
        </w:rPr>
      </w:pPr>
      <w:r w:rsidRPr="00561B48">
        <w:rPr>
          <w:sz w:val="22"/>
          <w:szCs w:val="22"/>
        </w:rPr>
        <w:t xml:space="preserve">While the information provided by Tesla and SEIA may provide a sound </w:t>
      </w:r>
      <w:r w:rsidRPr="00561B48">
        <w:rPr>
          <w:i/>
          <w:sz w:val="22"/>
          <w:szCs w:val="22"/>
        </w:rPr>
        <w:t xml:space="preserve">theoretical </w:t>
      </w:r>
      <w:r w:rsidRPr="00561B48">
        <w:rPr>
          <w:sz w:val="22"/>
          <w:szCs w:val="22"/>
        </w:rPr>
        <w:t xml:space="preserve">basis </w:t>
      </w:r>
      <w:r w:rsidR="00340B80" w:rsidRPr="00561B48">
        <w:rPr>
          <w:sz w:val="22"/>
          <w:szCs w:val="22"/>
        </w:rPr>
        <w:t xml:space="preserve">for CVR benefits, the provision of these benefits requires active utility involvement to lower voltages and subsequent monitoring and data collection to determine energy and peak load reductions. This is not being accomplished by California utilities today. </w:t>
      </w:r>
      <w:r w:rsidR="00A316F8" w:rsidRPr="00561B48">
        <w:rPr>
          <w:sz w:val="22"/>
          <w:szCs w:val="22"/>
        </w:rPr>
        <w:t>Further, the basis for avoided cost values (e.g. the “CVR factor”) suggested by Tesla/SEIA are not related to demonstrations of CVR with solar, but rather for general voltage reductions not related to solar</w:t>
      </w:r>
      <w:r w:rsidR="00F1691F">
        <w:rPr>
          <w:sz w:val="22"/>
          <w:szCs w:val="22"/>
        </w:rPr>
        <w:t xml:space="preserve"> distributed generation</w:t>
      </w:r>
      <w:r w:rsidR="00A316F8" w:rsidRPr="00561B48">
        <w:rPr>
          <w:sz w:val="22"/>
          <w:szCs w:val="22"/>
        </w:rPr>
        <w:t>.</w:t>
      </w:r>
      <w:r w:rsidR="00437B33" w:rsidRPr="00561B48">
        <w:rPr>
          <w:rStyle w:val="FootnoteReference"/>
          <w:sz w:val="22"/>
          <w:szCs w:val="22"/>
        </w:rPr>
        <w:footnoteReference w:id="1"/>
      </w:r>
      <w:r w:rsidR="00A316F8" w:rsidRPr="00561B48">
        <w:rPr>
          <w:sz w:val="22"/>
          <w:szCs w:val="22"/>
        </w:rPr>
        <w:t xml:space="preserve"> TURN is not aware of any demonstrations that prove the CVR benefits of solar claimed by the Tesla/SEIA. </w:t>
      </w:r>
    </w:p>
    <w:p w14:paraId="275A97EC" w14:textId="77777777" w:rsidR="00340B80" w:rsidRPr="00561B48" w:rsidRDefault="00340B80" w:rsidP="00965F50">
      <w:pPr>
        <w:rPr>
          <w:sz w:val="22"/>
          <w:szCs w:val="22"/>
        </w:rPr>
      </w:pPr>
    </w:p>
    <w:p w14:paraId="59830396" w14:textId="49C1A6CE" w:rsidR="008C6173" w:rsidRPr="00561B48" w:rsidRDefault="00F1691F" w:rsidP="008C6173">
      <w:pPr>
        <w:widowControl w:val="0"/>
        <w:autoSpaceDE w:val="0"/>
        <w:autoSpaceDN w:val="0"/>
        <w:adjustRightInd w:val="0"/>
        <w:rPr>
          <w:rFonts w:cs="TimesNewRomanPSMT"/>
          <w:sz w:val="22"/>
          <w:szCs w:val="22"/>
        </w:rPr>
      </w:pPr>
      <w:r>
        <w:rPr>
          <w:sz w:val="22"/>
          <w:szCs w:val="22"/>
        </w:rPr>
        <w:t>Avoided</w:t>
      </w:r>
      <w:r w:rsidR="00340B80" w:rsidRPr="00561B48">
        <w:rPr>
          <w:sz w:val="22"/>
          <w:szCs w:val="22"/>
        </w:rPr>
        <w:t xml:space="preserve"> energy and capacity benefits due to voltage reductions are complex, de</w:t>
      </w:r>
      <w:r w:rsidR="00A316F8" w:rsidRPr="00561B48">
        <w:rPr>
          <w:sz w:val="22"/>
          <w:szCs w:val="22"/>
        </w:rPr>
        <w:t xml:space="preserve">pending entirely on the circuit, loads on that particular circuit, and the timing of when voltage is actually lowered </w:t>
      </w:r>
      <w:r w:rsidR="00A316F8" w:rsidRPr="00561B48">
        <w:rPr>
          <w:i/>
          <w:sz w:val="22"/>
          <w:szCs w:val="22"/>
        </w:rPr>
        <w:t>compared with what would have otherwise occurred in the absence of a</w:t>
      </w:r>
      <w:r w:rsidR="00561B48" w:rsidRPr="00561B48">
        <w:rPr>
          <w:i/>
          <w:sz w:val="22"/>
          <w:szCs w:val="22"/>
        </w:rPr>
        <w:t xml:space="preserve"> particular</w:t>
      </w:r>
      <w:r w:rsidR="00A316F8" w:rsidRPr="00561B48">
        <w:rPr>
          <w:i/>
          <w:sz w:val="22"/>
          <w:szCs w:val="22"/>
        </w:rPr>
        <w:t xml:space="preserve"> CVR program</w:t>
      </w:r>
      <w:r w:rsidR="00A316F8" w:rsidRPr="00561B48">
        <w:rPr>
          <w:sz w:val="22"/>
          <w:szCs w:val="22"/>
        </w:rPr>
        <w:t xml:space="preserve">. TURN’s analysis of PG&amp;E’s </w:t>
      </w:r>
      <w:r w:rsidR="008C6173" w:rsidRPr="00561B48">
        <w:rPr>
          <w:sz w:val="22"/>
          <w:szCs w:val="22"/>
        </w:rPr>
        <w:t>volt-var optimization program (“</w:t>
      </w:r>
      <w:r w:rsidR="00A316F8" w:rsidRPr="00561B48">
        <w:rPr>
          <w:sz w:val="22"/>
          <w:szCs w:val="22"/>
        </w:rPr>
        <w:t>VVO</w:t>
      </w:r>
      <w:r w:rsidR="008C6173" w:rsidRPr="00561B48">
        <w:rPr>
          <w:sz w:val="22"/>
          <w:szCs w:val="22"/>
        </w:rPr>
        <w:t>,” akin to CVR)</w:t>
      </w:r>
      <w:r w:rsidR="00A316F8" w:rsidRPr="00561B48">
        <w:rPr>
          <w:sz w:val="22"/>
          <w:szCs w:val="22"/>
        </w:rPr>
        <w:t xml:space="preserve"> pilot program (which did not involve solar but rather additional sensors and controls to lower voltage) </w:t>
      </w:r>
      <w:r w:rsidR="00437B33" w:rsidRPr="00561B48">
        <w:rPr>
          <w:sz w:val="22"/>
          <w:szCs w:val="22"/>
        </w:rPr>
        <w:t>demonstrated that the utility did not accurately forecast energy reductions, such that larger energy reductions were expected than what was actually measured for almost every circuit included in the pilot (all but one).</w:t>
      </w:r>
      <w:r w:rsidR="00437B33" w:rsidRPr="00561B48">
        <w:rPr>
          <w:rStyle w:val="FootnoteReference"/>
          <w:sz w:val="22"/>
          <w:szCs w:val="22"/>
        </w:rPr>
        <w:footnoteReference w:id="2"/>
      </w:r>
      <w:r w:rsidR="00B77E6B">
        <w:rPr>
          <w:sz w:val="22"/>
          <w:szCs w:val="22"/>
        </w:rPr>
        <w:t xml:space="preserve"> TURN also found</w:t>
      </w:r>
      <w:bookmarkStart w:id="0" w:name="_GoBack"/>
      <w:bookmarkEnd w:id="0"/>
      <w:r w:rsidR="008C6173" w:rsidRPr="00561B48">
        <w:rPr>
          <w:sz w:val="22"/>
          <w:szCs w:val="22"/>
        </w:rPr>
        <w:t xml:space="preserve"> that </w:t>
      </w:r>
      <w:r w:rsidR="00A804DA" w:rsidRPr="00561B48">
        <w:rPr>
          <w:sz w:val="22"/>
          <w:szCs w:val="22"/>
        </w:rPr>
        <w:t>the pilot</w:t>
      </w:r>
      <w:r w:rsidR="008C6173" w:rsidRPr="00561B48">
        <w:rPr>
          <w:sz w:val="22"/>
          <w:szCs w:val="22"/>
        </w:rPr>
        <w:t xml:space="preserve"> was not “</w:t>
      </w:r>
      <w:r w:rsidR="008C6173" w:rsidRPr="00561B48">
        <w:rPr>
          <w:rFonts w:cs="TimesNewRomanPSMT"/>
          <w:sz w:val="22"/>
          <w:szCs w:val="22"/>
        </w:rPr>
        <w:t xml:space="preserve">able to demonstrate…[an] ability to </w:t>
      </w:r>
      <w:r w:rsidR="008C6173" w:rsidRPr="00561B48">
        <w:rPr>
          <w:rFonts w:cs="TimesNewRomanPSMT"/>
          <w:sz w:val="22"/>
          <w:szCs w:val="22"/>
        </w:rPr>
        <w:t>reduce demand during peak system hours. The absence of demand reductions over this period call into question</w:t>
      </w:r>
      <w:r w:rsidR="008C6173" w:rsidRPr="00561B48">
        <w:rPr>
          <w:rFonts w:cs="TimesNewRomanPSMT"/>
          <w:sz w:val="22"/>
          <w:szCs w:val="22"/>
        </w:rPr>
        <w:t xml:space="preserve"> </w:t>
      </w:r>
      <w:r w:rsidR="008C6173" w:rsidRPr="00561B48">
        <w:rPr>
          <w:rFonts w:cs="TimesNewRomanPSMT"/>
          <w:sz w:val="22"/>
          <w:szCs w:val="22"/>
        </w:rPr>
        <w:t>whethe</w:t>
      </w:r>
      <w:r w:rsidR="008C6173" w:rsidRPr="00561B48">
        <w:rPr>
          <w:rFonts w:cs="TimesNewRomanPSMT"/>
          <w:sz w:val="22"/>
          <w:szCs w:val="22"/>
        </w:rPr>
        <w:t>r capacity costs can be avoided.”</w:t>
      </w:r>
      <w:r w:rsidR="00A804DA" w:rsidRPr="00561B48">
        <w:rPr>
          <w:rStyle w:val="FootnoteReference"/>
          <w:rFonts w:cs="TimesNewRomanPSMT"/>
          <w:sz w:val="22"/>
          <w:szCs w:val="22"/>
        </w:rPr>
        <w:footnoteReference w:id="3"/>
      </w:r>
    </w:p>
    <w:p w14:paraId="122D7CF1" w14:textId="77777777" w:rsidR="008C6173" w:rsidRPr="00561B48" w:rsidRDefault="008C6173" w:rsidP="008C6173">
      <w:pPr>
        <w:widowControl w:val="0"/>
        <w:autoSpaceDE w:val="0"/>
        <w:autoSpaceDN w:val="0"/>
        <w:adjustRightInd w:val="0"/>
        <w:rPr>
          <w:rFonts w:cs="TimesNewRomanPSMT"/>
          <w:sz w:val="22"/>
          <w:szCs w:val="22"/>
        </w:rPr>
      </w:pPr>
    </w:p>
    <w:p w14:paraId="761EEF28" w14:textId="51089B3D" w:rsidR="008C6173" w:rsidRPr="00561B48" w:rsidRDefault="008C6173" w:rsidP="008C6173">
      <w:pPr>
        <w:widowControl w:val="0"/>
        <w:autoSpaceDE w:val="0"/>
        <w:autoSpaceDN w:val="0"/>
        <w:adjustRightInd w:val="0"/>
        <w:rPr>
          <w:rFonts w:cs="TimesNewRomanPSMT"/>
          <w:sz w:val="22"/>
          <w:szCs w:val="22"/>
        </w:rPr>
      </w:pPr>
      <w:r w:rsidRPr="00561B48">
        <w:rPr>
          <w:rFonts w:cs="TimesNewRomanPSMT"/>
          <w:sz w:val="22"/>
          <w:szCs w:val="22"/>
        </w:rPr>
        <w:t xml:space="preserve">Similar issues may be found with </w:t>
      </w:r>
      <w:r w:rsidR="004022AF" w:rsidRPr="00561B48">
        <w:rPr>
          <w:rFonts w:cs="TimesNewRomanPSMT"/>
          <w:sz w:val="22"/>
          <w:szCs w:val="22"/>
        </w:rPr>
        <w:t xml:space="preserve">integrating solar into a utility CVR program, </w:t>
      </w:r>
      <w:r w:rsidR="00A804DA" w:rsidRPr="00561B48">
        <w:rPr>
          <w:rFonts w:cs="TimesNewRomanPSMT"/>
          <w:sz w:val="22"/>
          <w:szCs w:val="22"/>
        </w:rPr>
        <w:t>complicated by the fact that</w:t>
      </w:r>
      <w:r w:rsidR="004022AF" w:rsidRPr="00561B48">
        <w:rPr>
          <w:rFonts w:cs="TimesNewRomanPSMT"/>
          <w:sz w:val="22"/>
          <w:szCs w:val="22"/>
        </w:rPr>
        <w:t xml:space="preserve"> benefits depend entirely on where solar is located on a circuit. Nevertheless, TURN hopes solar developers can work with utilities (perhaps </w:t>
      </w:r>
      <w:r w:rsidR="00561B48">
        <w:rPr>
          <w:rFonts w:cs="TimesNewRomanPSMT"/>
          <w:sz w:val="22"/>
          <w:szCs w:val="22"/>
        </w:rPr>
        <w:t>through</w:t>
      </w:r>
      <w:r w:rsidR="004022AF" w:rsidRPr="00561B48">
        <w:rPr>
          <w:rFonts w:cs="TimesNewRomanPSMT"/>
          <w:sz w:val="22"/>
          <w:szCs w:val="22"/>
        </w:rPr>
        <w:t xml:space="preserve"> an EPIC project) to implement and test CVR programs to demonstrate that lower voltages and related energy and peak demand reductions can be </w:t>
      </w:r>
      <w:r w:rsidR="00561B48">
        <w:rPr>
          <w:rFonts w:cs="TimesNewRomanPSMT"/>
          <w:sz w:val="22"/>
          <w:szCs w:val="22"/>
        </w:rPr>
        <w:t>realized with distributed generation</w:t>
      </w:r>
      <w:r w:rsidR="004022AF" w:rsidRPr="00561B48">
        <w:rPr>
          <w:rFonts w:cs="TimesNewRomanPSMT"/>
          <w:sz w:val="22"/>
          <w:szCs w:val="22"/>
        </w:rPr>
        <w:t xml:space="preserve">. </w:t>
      </w:r>
      <w:r w:rsidR="00A804DA" w:rsidRPr="00561B48">
        <w:rPr>
          <w:rFonts w:cs="TimesNewRomanPSMT"/>
          <w:sz w:val="22"/>
          <w:szCs w:val="22"/>
        </w:rPr>
        <w:t xml:space="preserve">Once such a program is developed and the concept </w:t>
      </w:r>
      <w:r w:rsidR="004E006A">
        <w:rPr>
          <w:rFonts w:cs="TimesNewRomanPSMT"/>
          <w:sz w:val="22"/>
          <w:szCs w:val="22"/>
        </w:rPr>
        <w:t>and particular values demonstrated</w:t>
      </w:r>
      <w:r w:rsidR="00A804DA" w:rsidRPr="00561B48">
        <w:rPr>
          <w:rFonts w:cs="TimesNewRomanPSMT"/>
          <w:sz w:val="22"/>
          <w:szCs w:val="22"/>
        </w:rPr>
        <w:t xml:space="preserve">, an avoided cost value should be incorporated into the </w:t>
      </w:r>
      <w:r w:rsidR="006F4349">
        <w:rPr>
          <w:rFonts w:cs="TimesNewRomanPSMT"/>
          <w:sz w:val="22"/>
          <w:szCs w:val="22"/>
        </w:rPr>
        <w:t xml:space="preserve">LNBA tool based on expected energy reductions from active utility involvement to lower voltages where solar DG is present. </w:t>
      </w:r>
      <w:r w:rsidR="00A804DA" w:rsidRPr="00561B48">
        <w:rPr>
          <w:rFonts w:cs="TimesNewRomanPSMT"/>
          <w:sz w:val="22"/>
          <w:szCs w:val="22"/>
        </w:rPr>
        <w:t xml:space="preserve">  </w:t>
      </w:r>
    </w:p>
    <w:sectPr w:rsidR="008C6173" w:rsidRPr="00561B48" w:rsidSect="00CC26C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A0F6D1" w14:textId="77777777" w:rsidR="00BC644F" w:rsidRDefault="00BC644F" w:rsidP="00437B33">
      <w:r>
        <w:separator/>
      </w:r>
    </w:p>
  </w:endnote>
  <w:endnote w:type="continuationSeparator" w:id="0">
    <w:p w14:paraId="5B82AB45" w14:textId="77777777" w:rsidR="00BC644F" w:rsidRDefault="00BC644F" w:rsidP="00437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NewRomanPSMT">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3EE696" w14:textId="77777777" w:rsidR="00BC644F" w:rsidRDefault="00BC644F" w:rsidP="00437B33">
      <w:r>
        <w:separator/>
      </w:r>
    </w:p>
  </w:footnote>
  <w:footnote w:type="continuationSeparator" w:id="0">
    <w:p w14:paraId="0DEC3560" w14:textId="77777777" w:rsidR="00BC644F" w:rsidRDefault="00BC644F" w:rsidP="00437B33">
      <w:r>
        <w:continuationSeparator/>
      </w:r>
    </w:p>
  </w:footnote>
  <w:footnote w:id="1">
    <w:p w14:paraId="3131F137" w14:textId="77777777" w:rsidR="00437B33" w:rsidRDefault="00437B33">
      <w:pPr>
        <w:pStyle w:val="FootnoteText"/>
      </w:pPr>
      <w:r>
        <w:rPr>
          <w:rStyle w:val="FootnoteReference"/>
        </w:rPr>
        <w:footnoteRef/>
      </w:r>
      <w:r>
        <w:t xml:space="preserve"> The parties cite to an EPRI study that examines the benefits of lowering voltages. EPRI, Green Circuits, </w:t>
      </w:r>
      <w:hyperlink r:id="rId1" w:history="1">
        <w:r w:rsidRPr="00657BD5">
          <w:rPr>
            <w:rStyle w:val="Hyperlink"/>
          </w:rPr>
          <w:t>https://www.epri.com/#/pages/product/000000000001023518/</w:t>
        </w:r>
      </w:hyperlink>
      <w:r>
        <w:t xml:space="preserve">. </w:t>
      </w:r>
    </w:p>
  </w:footnote>
  <w:footnote w:id="2">
    <w:p w14:paraId="63FF8BA4" w14:textId="52597D23" w:rsidR="00437B33" w:rsidRDefault="00437B33">
      <w:pPr>
        <w:pStyle w:val="FootnoteText"/>
      </w:pPr>
      <w:r>
        <w:rPr>
          <w:rStyle w:val="FootnoteReference"/>
        </w:rPr>
        <w:footnoteRef/>
      </w:r>
      <w:r>
        <w:t xml:space="preserve"> </w:t>
      </w:r>
      <w:r w:rsidR="00A804DA">
        <w:t xml:space="preserve">A.15-09-001, </w:t>
      </w:r>
      <w:r w:rsidR="00A804DA" w:rsidRPr="00A804DA">
        <w:rPr>
          <w:i/>
        </w:rPr>
        <w:t>Testimony of Eric Borden Addressing PG&amp;E Electric Distribution and New Business Expenditures</w:t>
      </w:r>
      <w:r w:rsidR="00A804DA">
        <w:t>, April 29, 2016, p. 12.</w:t>
      </w:r>
    </w:p>
  </w:footnote>
  <w:footnote w:id="3">
    <w:p w14:paraId="72D31CBD" w14:textId="1DB53BFD" w:rsidR="00A804DA" w:rsidRDefault="00A804DA">
      <w:pPr>
        <w:pStyle w:val="FootnoteText"/>
      </w:pPr>
      <w:r>
        <w:rPr>
          <w:rStyle w:val="FootnoteReference"/>
        </w:rPr>
        <w:footnoteRef/>
      </w:r>
      <w:r>
        <w:t xml:space="preserve"> </w:t>
      </w:r>
      <w:r>
        <w:rPr>
          <w:i/>
        </w:rPr>
        <w:t xml:space="preserve">Ibid, </w:t>
      </w:r>
      <w:r>
        <w:t xml:space="preserve">p. 13.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79B"/>
    <w:rsid w:val="0012579B"/>
    <w:rsid w:val="00340B80"/>
    <w:rsid w:val="004022AF"/>
    <w:rsid w:val="00437B33"/>
    <w:rsid w:val="004E006A"/>
    <w:rsid w:val="00503305"/>
    <w:rsid w:val="00561B48"/>
    <w:rsid w:val="005A78A3"/>
    <w:rsid w:val="005F5413"/>
    <w:rsid w:val="006F4349"/>
    <w:rsid w:val="00821D96"/>
    <w:rsid w:val="00856ECA"/>
    <w:rsid w:val="008C6173"/>
    <w:rsid w:val="00965F50"/>
    <w:rsid w:val="00A316F8"/>
    <w:rsid w:val="00A47F58"/>
    <w:rsid w:val="00A802D3"/>
    <w:rsid w:val="00A804DA"/>
    <w:rsid w:val="00B77E6B"/>
    <w:rsid w:val="00BC644F"/>
    <w:rsid w:val="00CC26CF"/>
    <w:rsid w:val="00E663F9"/>
    <w:rsid w:val="00F16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EC193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37B33"/>
  </w:style>
  <w:style w:type="character" w:customStyle="1" w:styleId="FootnoteTextChar">
    <w:name w:val="Footnote Text Char"/>
    <w:basedOn w:val="DefaultParagraphFont"/>
    <w:link w:val="FootnoteText"/>
    <w:uiPriority w:val="99"/>
    <w:rsid w:val="00437B33"/>
  </w:style>
  <w:style w:type="character" w:styleId="FootnoteReference">
    <w:name w:val="footnote reference"/>
    <w:basedOn w:val="DefaultParagraphFont"/>
    <w:uiPriority w:val="99"/>
    <w:unhideWhenUsed/>
    <w:rsid w:val="00437B33"/>
    <w:rPr>
      <w:vertAlign w:val="superscript"/>
    </w:rPr>
  </w:style>
  <w:style w:type="character" w:styleId="Hyperlink">
    <w:name w:val="Hyperlink"/>
    <w:basedOn w:val="DefaultParagraphFont"/>
    <w:uiPriority w:val="99"/>
    <w:unhideWhenUsed/>
    <w:rsid w:val="00437B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epri.com/#/pages/product/0000000000010235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1</Pages>
  <Words>493</Words>
  <Characters>2815</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Borden</dc:creator>
  <cp:keywords/>
  <dc:description/>
  <cp:lastModifiedBy>Eric Borden</cp:lastModifiedBy>
  <cp:revision>5</cp:revision>
  <dcterms:created xsi:type="dcterms:W3CDTF">2017-08-29T18:04:00Z</dcterms:created>
  <dcterms:modified xsi:type="dcterms:W3CDTF">2017-08-29T19:23:00Z</dcterms:modified>
</cp:coreProperties>
</file>