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EA" w:rsidRDefault="00F200EA" w:rsidP="00F200EA">
      <w:pPr>
        <w:pStyle w:val="Title"/>
        <w:rPr>
          <w:sz w:val="48"/>
        </w:rPr>
      </w:pPr>
      <w:r>
        <w:rPr>
          <w:sz w:val="48"/>
        </w:rPr>
        <w:t>Item 13</w:t>
      </w:r>
      <w:r w:rsidRPr="006B3453">
        <w:rPr>
          <w:sz w:val="48"/>
        </w:rPr>
        <w:t xml:space="preserve">: </w:t>
      </w:r>
      <w:r>
        <w:rPr>
          <w:sz w:val="48"/>
        </w:rPr>
        <w:t>Data/Situational Awareness</w:t>
      </w:r>
    </w:p>
    <w:p w:rsidR="00F200EA" w:rsidRDefault="00F200EA" w:rsidP="00F200EA">
      <w:pPr>
        <w:pStyle w:val="Title"/>
      </w:pPr>
      <w:r>
        <w:t xml:space="preserve">SEIA Initial Proposal </w:t>
      </w:r>
    </w:p>
    <w:p w:rsidR="00F200EA" w:rsidRPr="00B866DB" w:rsidRDefault="00F200EA" w:rsidP="00F200EA">
      <w:pPr>
        <w:pStyle w:val="Subtitle"/>
        <w:spacing w:after="0"/>
      </w:pPr>
      <w:r w:rsidRPr="00B866DB">
        <w:t>LNBA Working Group</w:t>
      </w:r>
    </w:p>
    <w:p w:rsidR="00F200EA" w:rsidRDefault="00F200EA" w:rsidP="00F200EA">
      <w:pPr>
        <w:spacing w:after="0"/>
      </w:pPr>
    </w:p>
    <w:p w:rsidR="00F200EA" w:rsidRDefault="00F200EA" w:rsidP="00F200EA">
      <w:pPr>
        <w:pStyle w:val="Heading1"/>
        <w:spacing w:before="0"/>
      </w:pPr>
      <w:r>
        <w:t>Summary of Recommendations</w:t>
      </w:r>
    </w:p>
    <w:p w:rsidR="00F200EA" w:rsidRPr="00B4776C" w:rsidRDefault="00F200EA" w:rsidP="00F200EA"/>
    <w:p w:rsidR="005E33D2" w:rsidRDefault="005E33D2" w:rsidP="003F1678">
      <w:pPr>
        <w:pStyle w:val="ListParagraph"/>
        <w:numPr>
          <w:ilvl w:val="0"/>
          <w:numId w:val="3"/>
        </w:numPr>
        <w:spacing w:after="0" w:line="360" w:lineRule="auto"/>
      </w:pPr>
      <w:r>
        <w:t>Many distributed energy resources</w:t>
      </w:r>
      <w:r w:rsidR="003F1678">
        <w:t>, such as rooftop solar panels and storage devices,</w:t>
      </w:r>
      <w:r>
        <w:t xml:space="preserve"> are deployed with monitoring equipment and communications-enabled smart inverters</w:t>
      </w:r>
    </w:p>
    <w:p w:rsidR="005E33D2" w:rsidRDefault="005E33D2" w:rsidP="003F1678">
      <w:pPr>
        <w:pStyle w:val="ListParagraph"/>
        <w:numPr>
          <w:ilvl w:val="0"/>
          <w:numId w:val="3"/>
        </w:numPr>
        <w:spacing w:after="0" w:line="360" w:lineRule="auto"/>
      </w:pPr>
      <w:r>
        <w:t>Third-party DER providers can feed data into utilities’ DERMS systems to:</w:t>
      </w:r>
    </w:p>
    <w:p w:rsidR="005E33D2" w:rsidRDefault="005E33D2" w:rsidP="003F1678">
      <w:pPr>
        <w:pStyle w:val="ListParagraph"/>
        <w:numPr>
          <w:ilvl w:val="1"/>
          <w:numId w:val="3"/>
        </w:numPr>
        <w:spacing w:after="0" w:line="360" w:lineRule="auto"/>
      </w:pPr>
      <w:r>
        <w:t xml:space="preserve">Calculate gross load and more generally understand loading profiles </w:t>
      </w:r>
    </w:p>
    <w:p w:rsidR="005E33D2" w:rsidRDefault="005E33D2" w:rsidP="003F1678">
      <w:pPr>
        <w:pStyle w:val="ListParagraph"/>
        <w:numPr>
          <w:ilvl w:val="1"/>
          <w:numId w:val="3"/>
        </w:numPr>
        <w:spacing w:after="0" w:line="360" w:lineRule="auto"/>
      </w:pPr>
      <w:r>
        <w:t>Identify faults for faster service restoration</w:t>
      </w:r>
    </w:p>
    <w:p w:rsidR="005E33D2" w:rsidRDefault="005E33D2" w:rsidP="003F1678">
      <w:pPr>
        <w:pStyle w:val="ListParagraph"/>
        <w:numPr>
          <w:ilvl w:val="1"/>
          <w:numId w:val="3"/>
        </w:numPr>
        <w:spacing w:after="0" w:line="360" w:lineRule="auto"/>
      </w:pPr>
      <w:r>
        <w:t xml:space="preserve">Provide data at greater frequency than may </w:t>
      </w:r>
      <w:r w:rsidR="006347CD">
        <w:t>b</w:t>
      </w:r>
      <w:r>
        <w:t>e available through utility communications infrastructure</w:t>
      </w:r>
    </w:p>
    <w:p w:rsidR="005E33D2" w:rsidRDefault="005E33D2" w:rsidP="003F1678">
      <w:pPr>
        <w:pStyle w:val="ListParagraph"/>
        <w:numPr>
          <w:ilvl w:val="1"/>
          <w:numId w:val="3"/>
        </w:numPr>
        <w:spacing w:after="0" w:line="360" w:lineRule="auto"/>
      </w:pPr>
      <w:r>
        <w:t>Provide nodal level data on power quality conditions</w:t>
      </w:r>
    </w:p>
    <w:p w:rsidR="00F200EA" w:rsidRDefault="00F05E6D" w:rsidP="003F1678">
      <w:pPr>
        <w:pStyle w:val="ListParagraph"/>
        <w:numPr>
          <w:ilvl w:val="0"/>
          <w:numId w:val="3"/>
        </w:numPr>
        <w:spacing w:after="0" w:line="360" w:lineRule="auto"/>
      </w:pPr>
      <w:r>
        <w:t xml:space="preserve"> </w:t>
      </w:r>
      <w:r w:rsidR="008A1364">
        <w:t>SEIA proposes to calculate the value of situational awareness as the incremental cost of more frequent, customer-level data and provision of power quality information</w:t>
      </w:r>
    </w:p>
    <w:p w:rsidR="008A1364" w:rsidRDefault="008A1364" w:rsidP="003F1678">
      <w:pPr>
        <w:pStyle w:val="ListParagraph"/>
        <w:numPr>
          <w:ilvl w:val="0"/>
          <w:numId w:val="3"/>
        </w:numPr>
        <w:spacing w:after="0" w:line="360" w:lineRule="auto"/>
      </w:pPr>
      <w:r>
        <w:t xml:space="preserve">This value can be calculated as: </w:t>
      </w:r>
    </w:p>
    <w:p w:rsidR="008A1364" w:rsidRDefault="008A1364" w:rsidP="003F1678">
      <w:pPr>
        <w:pStyle w:val="ListParagraph"/>
        <w:numPr>
          <w:ilvl w:val="1"/>
          <w:numId w:val="3"/>
        </w:numPr>
        <w:spacing w:after="0" w:line="360" w:lineRule="auto"/>
      </w:pPr>
      <w:r>
        <w:t>The avoided cost of additional bandwidth needed on wireless communication networks to backhaul data</w:t>
      </w:r>
    </w:p>
    <w:p w:rsidR="008A1364" w:rsidRDefault="008A1364" w:rsidP="003F1678">
      <w:pPr>
        <w:pStyle w:val="ListParagraph"/>
        <w:numPr>
          <w:ilvl w:val="1"/>
          <w:numId w:val="3"/>
        </w:numPr>
        <w:spacing w:after="0" w:line="360" w:lineRule="auto"/>
      </w:pPr>
      <w:r>
        <w:t>Avoided cost of additional metering to measure on-site generation for calculating gross load</w:t>
      </w:r>
    </w:p>
    <w:p w:rsidR="008A1364" w:rsidRDefault="008A1364" w:rsidP="003F1678">
      <w:pPr>
        <w:pStyle w:val="ListParagraph"/>
        <w:numPr>
          <w:ilvl w:val="1"/>
          <w:numId w:val="3"/>
        </w:numPr>
        <w:spacing w:after="0" w:line="360" w:lineRule="auto"/>
      </w:pPr>
      <w:r>
        <w:t>Reduced truck rolls from better fault location</w:t>
      </w:r>
    </w:p>
    <w:p w:rsidR="008A1364" w:rsidRDefault="008A1364" w:rsidP="003F1678">
      <w:pPr>
        <w:pStyle w:val="ListParagraph"/>
        <w:numPr>
          <w:ilvl w:val="1"/>
          <w:numId w:val="3"/>
        </w:numPr>
        <w:spacing w:after="0" w:line="360" w:lineRule="auto"/>
      </w:pPr>
      <w:r>
        <w:t>Avoided cost of line sensors</w:t>
      </w:r>
    </w:p>
    <w:p w:rsidR="00F200EA" w:rsidRDefault="00F200EA" w:rsidP="00F200EA">
      <w:pPr>
        <w:spacing w:after="0"/>
      </w:pPr>
    </w:p>
    <w:p w:rsidR="00F200EA" w:rsidRDefault="00F200EA" w:rsidP="00F200EA">
      <w:pPr>
        <w:spacing w:after="0"/>
      </w:pPr>
    </w:p>
    <w:p w:rsidR="00F200EA" w:rsidRDefault="00F200EA" w:rsidP="00F200EA">
      <w:pPr>
        <w:pStyle w:val="Heading1"/>
        <w:spacing w:before="0"/>
      </w:pPr>
      <w:r>
        <w:t>Introduction and Background</w:t>
      </w:r>
    </w:p>
    <w:p w:rsidR="00F200EA" w:rsidRDefault="00F200EA" w:rsidP="00F200EA"/>
    <w:p w:rsidR="00F200EA" w:rsidRDefault="00F200EA" w:rsidP="00F200EA">
      <w:pPr>
        <w:spacing w:after="0" w:line="480" w:lineRule="auto"/>
        <w:ind w:firstLine="720"/>
      </w:pPr>
      <w:r w:rsidRPr="00BB7BFE">
        <w:t>Using smart inverters and other devices located at customer premises, third-party DER providers could provide data services and situational awareness for utilities that would normally install sensing and communications equipment for that purpose</w:t>
      </w:r>
      <w:r>
        <w:t xml:space="preserve">. The information most applicable to the larger distribution system is voltage and the occurrence of an outage (i.e. low voltage at a DER implies the </w:t>
      </w:r>
      <w:r>
        <w:lastRenderedPageBreak/>
        <w:t xml:space="preserve">possibility of low voltage somewhere else.). In providing voltage and outage information, DERs can provide functions similar to Advanced Metering Infrastructure, line sensors/fault detectors, and communication with line equipment, though only providing the monitoring function and not the control function. </w:t>
      </w:r>
    </w:p>
    <w:p w:rsidR="00F200EA" w:rsidRDefault="00F200EA" w:rsidP="00F200EA">
      <w:pPr>
        <w:spacing w:after="0" w:line="480" w:lineRule="auto"/>
        <w:ind w:firstLine="720"/>
      </w:pPr>
      <w:r>
        <w:t>In addition to voltage, frequency, and the occurrence of an outage, DERs can also provide loading information at each site. All of this information at the grid edge can be used to drive more effective smart grid programs, increase reliability, and increase grid utilization. Intelligence at the end of the line can be used to more efficiently operate the system. Power quality problems can be identified and troubleshot faster, outages can be detected faster, modeling accuracy can be improved, and distribution state estimation could be implemented.</w:t>
      </w:r>
    </w:p>
    <w:p w:rsidR="00F200EA" w:rsidRPr="00F74FB2" w:rsidRDefault="00F200EA" w:rsidP="00F200EA">
      <w:pPr>
        <w:spacing w:after="0"/>
      </w:pPr>
    </w:p>
    <w:p w:rsidR="00F200EA" w:rsidRDefault="00F200EA" w:rsidP="00F200EA">
      <w:pPr>
        <w:pStyle w:val="Heading1"/>
        <w:spacing w:before="0"/>
      </w:pPr>
      <w:r>
        <w:t>Discussion and Methodology</w:t>
      </w:r>
    </w:p>
    <w:p w:rsidR="008A1364" w:rsidRDefault="008A1364" w:rsidP="008A1364"/>
    <w:p w:rsidR="00F90E10" w:rsidRDefault="008A1364" w:rsidP="003F1678">
      <w:pPr>
        <w:spacing w:line="480" w:lineRule="auto"/>
        <w:ind w:firstLine="720"/>
      </w:pPr>
      <w:r>
        <w:t>In Phase I of the utilities’ General Rate Case</w:t>
      </w:r>
      <w:r w:rsidR="003F1678">
        <w:t>s, utilities</w:t>
      </w:r>
      <w:r>
        <w:t xml:space="preserve"> propose investments </w:t>
      </w:r>
      <w:r w:rsidR="003F1678">
        <w:t xml:space="preserve">in equipment that can provide improved awareness of real time electrical conditions on their distribution systems. </w:t>
      </w:r>
      <w:r w:rsidR="00F90E10">
        <w:t>For example, all three large utilities in California have deployed Advanced Metering Infrastructure (AMI) capable of providing voltage data, but the system typically on</w:t>
      </w:r>
      <w:r w:rsidR="00923BF3">
        <w:t>ly</w:t>
      </w:r>
      <w:r w:rsidR="00F90E10">
        <w:t xml:space="preserve"> conveys billing-related data. </w:t>
      </w:r>
      <w:r w:rsidR="00923BF3">
        <w:t>This data is transmitted infrequently: the</w:t>
      </w:r>
      <w:r w:rsidR="003D4586">
        <w:t xml:space="preserve"> radio networks deployed by the utilities only backhaul voltage data and lo</w:t>
      </w:r>
      <w:r w:rsidR="00923BF3">
        <w:t xml:space="preserve">ading information once per day; </w:t>
      </w:r>
      <w:r w:rsidR="003D4586">
        <w:t xml:space="preserve">outage data can be communicated within 5 – 15 minutes. As a result, the AMI system provides limited and infrequent data on loading and power quality. More frequent collection and communication of this data by DER systems could provide value at a lower cost than additional investments to the AMI system. </w:t>
      </w:r>
    </w:p>
    <w:p w:rsidR="00923BF3" w:rsidRDefault="00923BF3" w:rsidP="00923BF3">
      <w:pPr>
        <w:spacing w:line="480" w:lineRule="auto"/>
        <w:ind w:firstLine="720"/>
      </w:pPr>
      <w:r>
        <w:t xml:space="preserve">Other information utilities are proposing in their rate cases include systems for operating the distribution system. Utilities have proposed, </w:t>
      </w:r>
      <w:r w:rsidR="003D4586">
        <w:t>in their GRCs</w:t>
      </w:r>
      <w:r>
        <w:t>,</w:t>
      </w:r>
      <w:r w:rsidR="003D4586">
        <w:t xml:space="preserve"> </w:t>
      </w:r>
      <w:r w:rsidR="003F1678">
        <w:t xml:space="preserve">Advanced Distribution Management Systems (ADMS), Distributed Energy Resource Management Systems (DERMS), and Generation Management </w:t>
      </w:r>
      <w:r w:rsidR="003F1678">
        <w:lastRenderedPageBreak/>
        <w:t>Systems (GMS) in order to improve analysis and control</w:t>
      </w:r>
      <w:r w:rsidR="003D4586">
        <w:t xml:space="preserve"> of grid operations. </w:t>
      </w:r>
      <w:r>
        <w:t>Some of these functions (i.e., DERMS) are needed for communication with DERS and DER aggregators to convey data that can provide situational awareness. Other equipment, such as the Generation Management Systems, may be unnecessary if reliability benefits can otherwise be achieved, in part by DER-provided situational awareness.</w:t>
      </w:r>
    </w:p>
    <w:p w:rsidR="003551B9" w:rsidRDefault="003D4586" w:rsidP="003F1678">
      <w:pPr>
        <w:spacing w:line="480" w:lineRule="auto"/>
        <w:ind w:firstLine="720"/>
      </w:pPr>
      <w:r>
        <w:t>Finally, utilities</w:t>
      </w:r>
      <w:r w:rsidR="003F1678">
        <w:t xml:space="preserve"> have proposed de</w:t>
      </w:r>
      <w:r w:rsidR="003551B9">
        <w:t>ploying line sensors, fault indicators and smart switches. Investments in wireless networks with sufficient bandwidth are also needed to allow for more frequent communications and increasing data transfer with utility equipment and DERs.</w:t>
      </w:r>
      <w:r w:rsidR="00923BF3">
        <w:t xml:space="preserve"> If additional sensors and fault indicators are unnecessary due to DER-provided situational awareness, th</w:t>
      </w:r>
      <w:r w:rsidR="00EE2D11">
        <w:t>at equipment can be avoided. If, as a result of the use of data from DERs there is no need to provide for</w:t>
      </w:r>
      <w:r w:rsidR="00923BF3">
        <w:t xml:space="preserve"> additional bandwidth on utility communications systems that would be needed to convey data from- and commands to- line sensors, fault indicators, </w:t>
      </w:r>
      <w:r w:rsidR="00EE2D11">
        <w:t xml:space="preserve">and switches that cost can be saved as well. </w:t>
      </w:r>
    </w:p>
    <w:p w:rsidR="003551B9" w:rsidRDefault="00F90E10" w:rsidP="003F1678">
      <w:pPr>
        <w:spacing w:line="480" w:lineRule="auto"/>
        <w:ind w:firstLine="720"/>
      </w:pPr>
      <w:r>
        <w:t>SEIA proposes to calculate the value of situational awareness as the</w:t>
      </w:r>
      <w:r w:rsidR="00EE2D11">
        <w:t xml:space="preserve"> avoided cost of sensors, metering infrastructure</w:t>
      </w:r>
      <w:r>
        <w:t xml:space="preserve">, software, network bandwidth and other equipment needed to provide the utilities situational awareness that would otherwise need to be deployed in the absence of DER equipment providing these services. The cost of this investment and corresponding magnitude of costs avoided can be estimated from utilities’ General Rate </w:t>
      </w:r>
      <w:r w:rsidR="00961819">
        <w:t xml:space="preserve">Cases and AMI Applications. </w:t>
      </w:r>
    </w:p>
    <w:p w:rsidR="00961819" w:rsidRDefault="00961819" w:rsidP="003F1678">
      <w:pPr>
        <w:spacing w:line="480" w:lineRule="auto"/>
        <w:ind w:firstLine="720"/>
      </w:pPr>
      <w:r>
        <w:t>In response to SEIA’s presentation on this topic at the ICA/LNBA working group meeting on September 19, the utilities raised a number of concerns and questions. SEIA provides the following response to those questions and concerns:</w:t>
      </w:r>
    </w:p>
    <w:p w:rsidR="00961819" w:rsidRDefault="00961819" w:rsidP="00961819">
      <w:pPr>
        <w:pStyle w:val="ListParagraph"/>
        <w:numPr>
          <w:ilvl w:val="0"/>
          <w:numId w:val="4"/>
        </w:numPr>
        <w:spacing w:line="480" w:lineRule="auto"/>
      </w:pPr>
      <w:r>
        <w:t xml:space="preserve">What data collection costs can be avoided by DERs? </w:t>
      </w:r>
    </w:p>
    <w:p w:rsidR="00961819" w:rsidRDefault="00961819" w:rsidP="00961819">
      <w:pPr>
        <w:pStyle w:val="ListParagraph"/>
        <w:numPr>
          <w:ilvl w:val="1"/>
          <w:numId w:val="4"/>
        </w:numPr>
        <w:spacing w:line="480" w:lineRule="auto"/>
      </w:pPr>
      <w:r w:rsidRPr="00961819">
        <w:rPr>
          <w:u w:val="single"/>
        </w:rPr>
        <w:t>Utility concern</w:t>
      </w:r>
      <w:r>
        <w:t xml:space="preserve">: This is not a typical service today. It is not clear which of today’s costs can be avoided, if any. For example, data from DERs may not provide sufficient coverage to meet </w:t>
      </w:r>
      <w:r>
        <w:lastRenderedPageBreak/>
        <w:t>needs: If an IOU has a need for information on conditions on the distribution primary system, then customer-sited DERs on the secondary system are unlikely to be able to provide this.</w:t>
      </w:r>
    </w:p>
    <w:p w:rsidR="00961819" w:rsidRDefault="00961819" w:rsidP="00961819">
      <w:pPr>
        <w:pStyle w:val="ListParagraph"/>
        <w:numPr>
          <w:ilvl w:val="1"/>
          <w:numId w:val="4"/>
        </w:numPr>
        <w:spacing w:line="480" w:lineRule="auto"/>
      </w:pPr>
      <w:r>
        <w:rPr>
          <w:u w:val="single"/>
        </w:rPr>
        <w:t>SEIA Response</w:t>
      </w:r>
      <w:r w:rsidRPr="00961819">
        <w:t>:</w:t>
      </w:r>
      <w:r>
        <w:t xml:space="preserve"> We agree that it is not a typical service today, but it is a service that adds value. Whether or not the utility is planning on implementing the cost</w:t>
      </w:r>
      <w:r w:rsidR="00EE2D11">
        <w:t xml:space="preserve"> is beside the point of having a value identified for such as service within the LNBA</w:t>
      </w:r>
      <w:r>
        <w:t>. The example provided on information needs on the primary versus secondary system is overly simplistic. Secondary data still adds value. Power quality on the secondary system can be used to inform what the power quality is in the primary system. Loading and generation data on the secondary system can be used to derive and inform loading and generation data on the primary system.</w:t>
      </w:r>
    </w:p>
    <w:p w:rsidR="00961819" w:rsidRDefault="00961819" w:rsidP="00961819">
      <w:pPr>
        <w:pStyle w:val="ListParagraph"/>
        <w:numPr>
          <w:ilvl w:val="0"/>
          <w:numId w:val="4"/>
        </w:numPr>
        <w:spacing w:line="480" w:lineRule="auto"/>
      </w:pPr>
      <w:r w:rsidRPr="00961819">
        <w:t>Are there hidden costs of using DERs to provide grid data?</w:t>
      </w:r>
    </w:p>
    <w:p w:rsidR="00961819" w:rsidRDefault="00961819" w:rsidP="00961819">
      <w:pPr>
        <w:pStyle w:val="ListParagraph"/>
        <w:numPr>
          <w:ilvl w:val="1"/>
          <w:numId w:val="4"/>
        </w:numPr>
        <w:spacing w:line="480" w:lineRule="auto"/>
      </w:pPr>
      <w:r w:rsidRPr="00961819">
        <w:rPr>
          <w:u w:val="single"/>
        </w:rPr>
        <w:t>Utility Concern</w:t>
      </w:r>
      <w:r>
        <w:t>:  Utilities believe there may be hidden costs. For example</w:t>
      </w:r>
      <w:r w:rsidRPr="00961819">
        <w:t>, data from new SCADA devices are easily integrated into existing UDC systems and tools; integrating data from non-SCADA, third-party devices may require additional hardware or software investment that should be accounted for when evaluating the least-cost solution.</w:t>
      </w:r>
    </w:p>
    <w:p w:rsidR="00961819" w:rsidRDefault="00961819" w:rsidP="00961819">
      <w:pPr>
        <w:pStyle w:val="ListParagraph"/>
        <w:numPr>
          <w:ilvl w:val="1"/>
          <w:numId w:val="4"/>
        </w:numPr>
        <w:spacing w:line="480" w:lineRule="auto"/>
      </w:pPr>
      <w:r>
        <w:rPr>
          <w:u w:val="single"/>
        </w:rPr>
        <w:t>SEIA Response</w:t>
      </w:r>
      <w:r w:rsidRPr="00961819">
        <w:t>:</w:t>
      </w:r>
      <w:r>
        <w:t xml:space="preserve"> </w:t>
      </w:r>
      <w:r w:rsidRPr="00961819">
        <w:t>This is true, but it is also important to account for all of the data streams and use cases of non-SCADA equipment. What if implementation plans are already underway outside the</w:t>
      </w:r>
      <w:r>
        <w:t xml:space="preserve"> situational awareness use case?</w:t>
      </w:r>
    </w:p>
    <w:p w:rsidR="00681322" w:rsidRDefault="00681322" w:rsidP="00681322">
      <w:pPr>
        <w:pStyle w:val="ListParagraph"/>
        <w:numPr>
          <w:ilvl w:val="0"/>
          <w:numId w:val="4"/>
        </w:numPr>
        <w:spacing w:line="480" w:lineRule="auto"/>
      </w:pPr>
      <w:r w:rsidRPr="00681322">
        <w:t>What are the minimum interconnection requirements for smart-inverter-based DERs?</w:t>
      </w:r>
    </w:p>
    <w:p w:rsidR="00681322" w:rsidRDefault="00681322" w:rsidP="00681322">
      <w:pPr>
        <w:pStyle w:val="ListParagraph"/>
        <w:numPr>
          <w:ilvl w:val="1"/>
          <w:numId w:val="4"/>
        </w:numPr>
        <w:spacing w:line="480" w:lineRule="auto"/>
      </w:pPr>
      <w:r w:rsidRPr="00681322">
        <w:rPr>
          <w:u w:val="single"/>
        </w:rPr>
        <w:t>Utility concern</w:t>
      </w:r>
      <w:r>
        <w:t xml:space="preserve">:  </w:t>
      </w:r>
      <w:r w:rsidRPr="00681322">
        <w:t>Some DERs (e.g. Large DG) are already required to have SCADA and generation meters to interconnect. At this time, the minimum requirements for smart-inverter-based DERs are still in development, including data-related requirements</w:t>
      </w:r>
      <w:r>
        <w:t>.</w:t>
      </w:r>
    </w:p>
    <w:p w:rsidR="008A1364" w:rsidRDefault="00681322" w:rsidP="00681322">
      <w:pPr>
        <w:pStyle w:val="ListParagraph"/>
        <w:numPr>
          <w:ilvl w:val="1"/>
          <w:numId w:val="4"/>
        </w:numPr>
        <w:spacing w:line="480" w:lineRule="auto"/>
      </w:pPr>
      <w:r>
        <w:rPr>
          <w:u w:val="single"/>
        </w:rPr>
        <w:lastRenderedPageBreak/>
        <w:t>SEIA Response</w:t>
      </w:r>
      <w:r w:rsidRPr="00681322">
        <w:t>:</w:t>
      </w:r>
      <w:r>
        <w:t xml:space="preserve"> This may be</w:t>
      </w:r>
      <w:r w:rsidRPr="00681322">
        <w:t xml:space="preserve"> an incorrect interpretation of Rule 21. Section J repeatedly references that less intrusive and/or more cost effective options should be used. Unfortunately, the utilities often opt for the SCADA and generation meter approach, </w:t>
      </w:r>
      <w:r>
        <w:t>despite it being more expensive</w:t>
      </w:r>
      <w:r w:rsidRPr="00681322">
        <w:t xml:space="preserve"> (This would be an example of another use case for </w:t>
      </w:r>
      <w:r>
        <w:t>non-SCADA equipment integration</w:t>
      </w:r>
      <w:r w:rsidRPr="00681322">
        <w:t>)</w:t>
      </w:r>
      <w:r>
        <w:t>.</w:t>
      </w:r>
    </w:p>
    <w:p w:rsidR="00F200EA" w:rsidRDefault="00F200EA" w:rsidP="00F200EA">
      <w:pPr>
        <w:pStyle w:val="Heading1"/>
        <w:spacing w:before="0"/>
      </w:pPr>
      <w:r>
        <w:t>Conclusion and Next Steps</w:t>
      </w:r>
    </w:p>
    <w:p w:rsidR="00F200EA" w:rsidRDefault="00F200EA" w:rsidP="00F200EA">
      <w:pPr>
        <w:spacing w:after="0"/>
      </w:pPr>
    </w:p>
    <w:p w:rsidR="00681322" w:rsidRDefault="00681322" w:rsidP="00681322">
      <w:pPr>
        <w:spacing w:line="360" w:lineRule="auto"/>
        <w:ind w:firstLine="720"/>
      </w:pPr>
      <w:r>
        <w:t xml:space="preserve">Distributed energy resources, such as rooftop solar, smart inverters and battery storage systems are increasingly being deployed with monitoring and </w:t>
      </w:r>
      <w:r w:rsidR="00EE2D11">
        <w:t>communications equipment that are</w:t>
      </w:r>
      <w:bookmarkStart w:id="0" w:name="_GoBack"/>
      <w:bookmarkEnd w:id="0"/>
      <w:r>
        <w:t xml:space="preserve"> capable of providing to utilities situational awareness of conditions on their distribution systems at an incremental cost that cou</w:t>
      </w:r>
      <w:r w:rsidR="00BF18E9">
        <w:t xml:space="preserve">ld be significantly lower than </w:t>
      </w:r>
      <w:r>
        <w:t>the cost of equipment deployed by utilities solely for that purpose.</w:t>
      </w:r>
      <w:r w:rsidR="00BF18E9">
        <w:t xml:space="preserve"> The LNBA working group could calculate the value of that service by collecting and analyzing data from utility general </w:t>
      </w:r>
      <w:r w:rsidR="009C35FF">
        <w:t>rate cases and AMI applications, including</w:t>
      </w:r>
      <w:r w:rsidR="00BF18E9">
        <w:t xml:space="preserve">: </w:t>
      </w:r>
    </w:p>
    <w:p w:rsidR="00BF18E9" w:rsidRPr="00BF18E9" w:rsidRDefault="00BF18E9" w:rsidP="00BF18E9">
      <w:pPr>
        <w:pStyle w:val="ListParagraph"/>
        <w:numPr>
          <w:ilvl w:val="0"/>
          <w:numId w:val="5"/>
        </w:numPr>
        <w:spacing w:line="360" w:lineRule="auto"/>
        <w:rPr>
          <w:iCs/>
        </w:rPr>
      </w:pPr>
      <w:r w:rsidRPr="00BF18E9">
        <w:rPr>
          <w:iCs/>
        </w:rPr>
        <w:t xml:space="preserve">The avoided cost of advanced metering infrastructure (AMI) - Historical applications for AMI could be used </w:t>
      </w:r>
      <w:r>
        <w:rPr>
          <w:iCs/>
        </w:rPr>
        <w:t>as an indication of the cost of deploying meters and communications networks</w:t>
      </w:r>
      <w:r w:rsidRPr="00BF18E9">
        <w:rPr>
          <w:iCs/>
        </w:rPr>
        <w:t>.</w:t>
      </w:r>
    </w:p>
    <w:p w:rsidR="00BF18E9" w:rsidRPr="00BF18E9" w:rsidRDefault="00BF18E9" w:rsidP="00BF18E9">
      <w:pPr>
        <w:pStyle w:val="ListParagraph"/>
        <w:numPr>
          <w:ilvl w:val="0"/>
          <w:numId w:val="5"/>
        </w:numPr>
        <w:spacing w:line="360" w:lineRule="auto"/>
        <w:rPr>
          <w:iCs/>
        </w:rPr>
      </w:pPr>
      <w:r w:rsidRPr="00BF18E9">
        <w:rPr>
          <w:iCs/>
        </w:rPr>
        <w:t xml:space="preserve">The avoided cost of line sensors - Historical smart grid applications for line sensors </w:t>
      </w:r>
    </w:p>
    <w:p w:rsidR="00BF18E9" w:rsidRPr="00BF18E9" w:rsidRDefault="00BF18E9" w:rsidP="00BF18E9">
      <w:pPr>
        <w:pStyle w:val="ListParagraph"/>
        <w:numPr>
          <w:ilvl w:val="0"/>
          <w:numId w:val="5"/>
        </w:numPr>
        <w:spacing w:line="360" w:lineRule="auto"/>
        <w:rPr>
          <w:iCs/>
        </w:rPr>
      </w:pPr>
      <w:r w:rsidRPr="00BF18E9">
        <w:rPr>
          <w:iCs/>
        </w:rPr>
        <w:t>Minimizing the quantity and duration of truck rolls - Using the average rate for a truck roll and an estimated time reduction for outage and power quali</w:t>
      </w:r>
      <w:r>
        <w:rPr>
          <w:iCs/>
        </w:rPr>
        <w:t>ty restoration</w:t>
      </w:r>
    </w:p>
    <w:p w:rsidR="00681322" w:rsidRDefault="00BF18E9" w:rsidP="009C35FF">
      <w:pPr>
        <w:pStyle w:val="ListParagraph"/>
        <w:numPr>
          <w:ilvl w:val="0"/>
          <w:numId w:val="5"/>
        </w:numPr>
        <w:spacing w:line="360" w:lineRule="auto"/>
      </w:pPr>
      <w:r w:rsidRPr="00BF18E9">
        <w:rPr>
          <w:iCs/>
        </w:rPr>
        <w:t>Minimizing the length of outages or power quality problems - Using the estimated cost of interruption and an estimate time reduction</w:t>
      </w:r>
    </w:p>
    <w:p w:rsidR="00681322" w:rsidRDefault="009C35FF" w:rsidP="00681322">
      <w:r>
        <w:t>The next steps are:</w:t>
      </w:r>
    </w:p>
    <w:p w:rsidR="009C35FF" w:rsidRDefault="009C35FF" w:rsidP="009C35FF">
      <w:pPr>
        <w:spacing w:line="360" w:lineRule="auto"/>
        <w:ind w:firstLine="720"/>
      </w:pPr>
      <w:r>
        <w:t xml:space="preserve">SEIA’s proposed approach uses data from utility General Rate Cases, AMI and Smart Grid applications to develop a general estimate of the value of situational awareness on utility distribution systems.  This information could be used to provide a general assessment or approximation of the cost of providing situational awareness. </w:t>
      </w:r>
    </w:p>
    <w:p w:rsidR="009C35FF" w:rsidRDefault="009C35FF" w:rsidP="009C35FF">
      <w:pPr>
        <w:spacing w:line="360" w:lineRule="auto"/>
        <w:ind w:firstLine="720"/>
      </w:pPr>
      <w:r>
        <w:t xml:space="preserve">Recognizing that DER providers should not afforded value for services that the utilities are already obtaining using previously deployed equipment, forward looking value for situational awareness </w:t>
      </w:r>
      <w:r>
        <w:lastRenderedPageBreak/>
        <w:t xml:space="preserve">should be ascertained using the cost of proposals to deploy infrastructure for the purpose of providing situational awareness that are pending before the Commission but not yet approved. </w:t>
      </w:r>
    </w:p>
    <w:p w:rsidR="00B0172C" w:rsidRDefault="00B0172C"/>
    <w:sectPr w:rsidR="00B017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B06" w:rsidRDefault="00FD4B06" w:rsidP="00F200EA">
      <w:pPr>
        <w:spacing w:after="0" w:line="240" w:lineRule="auto"/>
      </w:pPr>
      <w:r>
        <w:separator/>
      </w:r>
    </w:p>
  </w:endnote>
  <w:endnote w:type="continuationSeparator" w:id="0">
    <w:p w:rsidR="00FD4B06" w:rsidRDefault="00FD4B06" w:rsidP="00F20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B06" w:rsidRDefault="00FD4B06" w:rsidP="00F200EA">
      <w:pPr>
        <w:spacing w:after="0" w:line="240" w:lineRule="auto"/>
      </w:pPr>
      <w:r>
        <w:separator/>
      </w:r>
    </w:p>
  </w:footnote>
  <w:footnote w:type="continuationSeparator" w:id="0">
    <w:p w:rsidR="00FD4B06" w:rsidRDefault="00FD4B06" w:rsidP="00F200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06416"/>
    <w:multiLevelType w:val="hybridMultilevel"/>
    <w:tmpl w:val="0AF00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3801405"/>
    <w:multiLevelType w:val="hybridMultilevel"/>
    <w:tmpl w:val="FF982F1C"/>
    <w:lvl w:ilvl="0" w:tplc="7D083CAC">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EE160F"/>
    <w:multiLevelType w:val="hybridMultilevel"/>
    <w:tmpl w:val="EF4E49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FDF431C"/>
    <w:multiLevelType w:val="hybridMultilevel"/>
    <w:tmpl w:val="7C5EBA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90058AB"/>
    <w:multiLevelType w:val="hybridMultilevel"/>
    <w:tmpl w:val="C56677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0EA"/>
    <w:rsid w:val="003551B9"/>
    <w:rsid w:val="003D4586"/>
    <w:rsid w:val="003F1678"/>
    <w:rsid w:val="005E33D2"/>
    <w:rsid w:val="006347CD"/>
    <w:rsid w:val="00681322"/>
    <w:rsid w:val="008A1364"/>
    <w:rsid w:val="00923BF3"/>
    <w:rsid w:val="00961819"/>
    <w:rsid w:val="009C35FF"/>
    <w:rsid w:val="00AD0625"/>
    <w:rsid w:val="00B0172C"/>
    <w:rsid w:val="00BF18E9"/>
    <w:rsid w:val="00EE2D11"/>
    <w:rsid w:val="00F05E6D"/>
    <w:rsid w:val="00F200EA"/>
    <w:rsid w:val="00F90E10"/>
    <w:rsid w:val="00FD4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78090"/>
  <w15:docId w15:val="{25CC9449-4575-48E3-8929-1CFCAEBE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00EA"/>
  </w:style>
  <w:style w:type="paragraph" w:styleId="Heading1">
    <w:name w:val="heading 1"/>
    <w:basedOn w:val="Normal"/>
    <w:next w:val="Normal"/>
    <w:link w:val="Heading1Char"/>
    <w:uiPriority w:val="9"/>
    <w:qFormat/>
    <w:rsid w:val="00F200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0E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200EA"/>
    <w:pPr>
      <w:ind w:left="720"/>
      <w:contextualSpacing/>
    </w:pPr>
  </w:style>
  <w:style w:type="paragraph" w:styleId="Title">
    <w:name w:val="Title"/>
    <w:basedOn w:val="Normal"/>
    <w:next w:val="Normal"/>
    <w:link w:val="TitleChar"/>
    <w:uiPriority w:val="10"/>
    <w:qFormat/>
    <w:rsid w:val="00F200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0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0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200EA"/>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F200EA"/>
    <w:rPr>
      <w:sz w:val="16"/>
      <w:szCs w:val="16"/>
    </w:rPr>
  </w:style>
  <w:style w:type="paragraph" w:styleId="CommentText">
    <w:name w:val="annotation text"/>
    <w:basedOn w:val="Normal"/>
    <w:link w:val="CommentTextChar"/>
    <w:uiPriority w:val="99"/>
    <w:semiHidden/>
    <w:unhideWhenUsed/>
    <w:rsid w:val="00F200EA"/>
    <w:pPr>
      <w:spacing w:line="240" w:lineRule="auto"/>
    </w:pPr>
    <w:rPr>
      <w:sz w:val="20"/>
      <w:szCs w:val="20"/>
    </w:rPr>
  </w:style>
  <w:style w:type="character" w:customStyle="1" w:styleId="CommentTextChar">
    <w:name w:val="Comment Text Char"/>
    <w:basedOn w:val="DefaultParagraphFont"/>
    <w:link w:val="CommentText"/>
    <w:uiPriority w:val="99"/>
    <w:semiHidden/>
    <w:rsid w:val="00F200EA"/>
    <w:rPr>
      <w:sz w:val="20"/>
      <w:szCs w:val="20"/>
    </w:rPr>
  </w:style>
  <w:style w:type="paragraph" w:styleId="FootnoteText">
    <w:name w:val="footnote text"/>
    <w:basedOn w:val="Normal"/>
    <w:link w:val="FootnoteTextChar"/>
    <w:uiPriority w:val="99"/>
    <w:semiHidden/>
    <w:unhideWhenUsed/>
    <w:rsid w:val="00F200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00EA"/>
    <w:rPr>
      <w:sz w:val="20"/>
      <w:szCs w:val="20"/>
    </w:rPr>
  </w:style>
  <w:style w:type="character" w:styleId="FootnoteReference">
    <w:name w:val="footnote reference"/>
    <w:basedOn w:val="DefaultParagraphFont"/>
    <w:uiPriority w:val="99"/>
    <w:semiHidden/>
    <w:unhideWhenUsed/>
    <w:rsid w:val="00F200EA"/>
    <w:rPr>
      <w:vertAlign w:val="superscript"/>
    </w:rPr>
  </w:style>
  <w:style w:type="paragraph" w:styleId="BalloonText">
    <w:name w:val="Balloon Text"/>
    <w:basedOn w:val="Normal"/>
    <w:link w:val="BalloonTextChar"/>
    <w:uiPriority w:val="99"/>
    <w:semiHidden/>
    <w:unhideWhenUsed/>
    <w:rsid w:val="00F200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00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16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993BE4E3</Template>
  <TotalTime>1</TotalTime>
  <Pages>6</Pages>
  <Words>1435</Words>
  <Characters>8181</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SolarCity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Smithwood</dc:creator>
  <cp:lastModifiedBy>Brandon Smithwood</cp:lastModifiedBy>
  <cp:revision>2</cp:revision>
  <dcterms:created xsi:type="dcterms:W3CDTF">2017-09-30T02:04:00Z</dcterms:created>
  <dcterms:modified xsi:type="dcterms:W3CDTF">2017-09-30T02:04:00Z</dcterms:modified>
</cp:coreProperties>
</file>