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4286D0F0" w:rsidR="00062F4C" w:rsidRPr="006B3453" w:rsidRDefault="00062F4C" w:rsidP="00D04B9A">
      <w:pPr>
        <w:pStyle w:val="Title"/>
        <w:rPr>
          <w:sz w:val="48"/>
        </w:rPr>
      </w:pPr>
      <w:r w:rsidRPr="006B3453">
        <w:rPr>
          <w:sz w:val="48"/>
        </w:rPr>
        <w:t xml:space="preserve">Topic </w:t>
      </w:r>
      <w:r w:rsidR="008150F2">
        <w:rPr>
          <w:sz w:val="48"/>
        </w:rPr>
        <w:t>7</w:t>
      </w:r>
      <w:r w:rsidRPr="006B3453">
        <w:rPr>
          <w:sz w:val="48"/>
        </w:rPr>
        <w:t xml:space="preserve">: </w:t>
      </w:r>
      <w:r w:rsidR="00756A7E">
        <w:rPr>
          <w:sz w:val="48"/>
        </w:rPr>
        <w:t xml:space="preserve">Incorporate (Forecasting) </w:t>
      </w:r>
      <w:r w:rsidR="008150F2">
        <w:rPr>
          <w:sz w:val="48"/>
        </w:rPr>
        <w:t>Uncertainty Metric</w:t>
      </w:r>
      <w:r w:rsidR="00756A7E">
        <w:rPr>
          <w:sz w:val="48"/>
        </w:rPr>
        <w:t xml:space="preserve"> in LNBA Tool</w:t>
      </w:r>
      <w:r w:rsidR="008150F2">
        <w:rPr>
          <w:sz w:val="48"/>
        </w:rPr>
        <w:t xml:space="preserve"> for </w:t>
      </w:r>
      <w:r w:rsidR="00756A7E">
        <w:rPr>
          <w:sz w:val="48"/>
        </w:rPr>
        <w:t xml:space="preserve">Planned </w:t>
      </w:r>
      <w:r w:rsidR="008150F2">
        <w:rPr>
          <w:sz w:val="48"/>
        </w:rPr>
        <w:t>Deferrable Projects</w:t>
      </w:r>
    </w:p>
    <w:p w14:paraId="7D43CA11" w14:textId="6DF235BE" w:rsidR="00062F4C" w:rsidRDefault="00062F4C" w:rsidP="00D04B9A">
      <w:pPr>
        <w:pStyle w:val="Subtitle"/>
        <w:spacing w:after="0"/>
      </w:pPr>
      <w:r>
        <w:t xml:space="preserve">Joint IOUs’ Initial Proposal </w:t>
      </w:r>
    </w:p>
    <w:p w14:paraId="4F879491" w14:textId="77777777" w:rsidR="00D04B9A" w:rsidRDefault="00D04B9A" w:rsidP="00D04B9A">
      <w:pPr>
        <w:pStyle w:val="Subtitle"/>
        <w:spacing w:after="0"/>
      </w:pPr>
      <w:r>
        <w:t>LNBA Working Group</w:t>
      </w:r>
    </w:p>
    <w:p w14:paraId="0E916A7B" w14:textId="77777777" w:rsidR="00D04B9A" w:rsidRDefault="00D04B9A" w:rsidP="00D04B9A">
      <w:pPr>
        <w:spacing w:after="0"/>
      </w:pPr>
    </w:p>
    <w:p w14:paraId="5A6EF65C" w14:textId="47364112" w:rsidR="00062F4C" w:rsidRPr="008242FD" w:rsidRDefault="008242FD" w:rsidP="00D04B9A">
      <w:pPr>
        <w:spacing w:after="0"/>
        <w:rPr>
          <w:i/>
        </w:rPr>
      </w:pPr>
      <w:r w:rsidRPr="008242FD">
        <w:rPr>
          <w:i/>
        </w:rPr>
        <w:t>Note: in the June 7 ACR, Item 7 states: “Incorporate a (forecasting uncertainty metric in LNBA tool for planned deferrable projects.” “Requires coordination with development of deferral screening criteria under development in the DRP Track 3 Sub-track 3.”</w:t>
      </w:r>
    </w:p>
    <w:p w14:paraId="6DEE1E41" w14:textId="77777777" w:rsidR="00062F4C" w:rsidRDefault="00062F4C" w:rsidP="00D04B9A">
      <w:pPr>
        <w:pStyle w:val="Heading1"/>
        <w:spacing w:before="0"/>
      </w:pPr>
      <w:r>
        <w:t>Summary of Recommendations</w:t>
      </w:r>
    </w:p>
    <w:p w14:paraId="630BA6F6" w14:textId="665760AF" w:rsidR="00062F4C" w:rsidRDefault="00EA0A98" w:rsidP="00570A3A">
      <w:pPr>
        <w:pStyle w:val="ListParagraph"/>
        <w:numPr>
          <w:ilvl w:val="0"/>
          <w:numId w:val="5"/>
        </w:numPr>
        <w:spacing w:after="0"/>
      </w:pPr>
      <w:r>
        <w:t xml:space="preserve">All potentially deferrable projects </w:t>
      </w:r>
      <w:r w:rsidR="00F932DC">
        <w:t>that are a product</w:t>
      </w:r>
      <w:r>
        <w:t xml:space="preserve"> of the IOU distribution planning process that pass the technical and timing deferral </w:t>
      </w:r>
      <w:r w:rsidR="002E35BD">
        <w:t>screens provided</w:t>
      </w:r>
      <w:r>
        <w:t xml:space="preserve"> in the DIDF Energy Division Staff proposal will be </w:t>
      </w:r>
      <w:r w:rsidR="00AF3CF2">
        <w:t>evaluated in</w:t>
      </w:r>
      <w:r>
        <w:t xml:space="preserve"> LNBA </w:t>
      </w:r>
      <w:r w:rsidR="002E35BD">
        <w:t>(pursuant to a final DRP Track 3 Sub-track 3 decision)</w:t>
      </w:r>
      <w:r>
        <w:t xml:space="preserve">. </w:t>
      </w:r>
    </w:p>
    <w:p w14:paraId="7837ED9D" w14:textId="136803DD" w:rsidR="00EA0A98" w:rsidRDefault="00152D7A" w:rsidP="00570A3A">
      <w:pPr>
        <w:pStyle w:val="ListParagraph"/>
        <w:numPr>
          <w:ilvl w:val="1"/>
          <w:numId w:val="7"/>
        </w:numPr>
        <w:spacing w:after="0"/>
      </w:pPr>
      <w:r>
        <w:t>The technical screen is based services DERs can provide identified in the IDER OIR</w:t>
      </w:r>
    </w:p>
    <w:p w14:paraId="4DD5854F" w14:textId="0FF4D3DE" w:rsidR="00152D7A" w:rsidRDefault="00152D7A" w:rsidP="00570A3A">
      <w:pPr>
        <w:pStyle w:val="ListParagraph"/>
        <w:numPr>
          <w:ilvl w:val="1"/>
          <w:numId w:val="7"/>
        </w:numPr>
        <w:spacing w:after="0"/>
      </w:pPr>
      <w:r>
        <w:t xml:space="preserve">The timing screen is based on the amount of time required for DERs to be deployed before the need date given existing procurement and interconnection processes and timelines. </w:t>
      </w:r>
    </w:p>
    <w:p w14:paraId="0E1D76D7" w14:textId="5AE1C15E" w:rsidR="00152D7A" w:rsidRDefault="00E3243D" w:rsidP="00570A3A">
      <w:pPr>
        <w:pStyle w:val="ListParagraph"/>
        <w:numPr>
          <w:ilvl w:val="0"/>
          <w:numId w:val="5"/>
        </w:numPr>
        <w:spacing w:after="0"/>
      </w:pPr>
      <w:r>
        <w:t xml:space="preserve">Uncertainty metric is qualitative and will be utilized as one of the metrics </w:t>
      </w:r>
      <w:r w:rsidR="009F0DB3">
        <w:t>to select the potentially deferrable projects that will be included in a future RFO for DER products/services</w:t>
      </w:r>
    </w:p>
    <w:p w14:paraId="617B8673" w14:textId="6D1A7654" w:rsidR="009F0DB3" w:rsidRDefault="009F0DB3" w:rsidP="00570A3A">
      <w:pPr>
        <w:pStyle w:val="ListParagraph"/>
        <w:numPr>
          <w:ilvl w:val="1"/>
          <w:numId w:val="6"/>
        </w:numPr>
        <w:spacing w:after="0"/>
      </w:pPr>
      <w:r>
        <w:t xml:space="preserve">IOUs will develop a </w:t>
      </w:r>
      <w:r w:rsidR="00AF3CF2">
        <w:t xml:space="preserve">process </w:t>
      </w:r>
      <w:r>
        <w:t>to rate DER deferrable projects’ certainty in order to inform selection of projects to move forward to RFO with the greatest chance to be successfully deferred by DER.</w:t>
      </w:r>
    </w:p>
    <w:p w14:paraId="0AD06BBD" w14:textId="5BC7443C" w:rsidR="009F0DB3" w:rsidRDefault="00570A3A" w:rsidP="00570A3A">
      <w:pPr>
        <w:pStyle w:val="ListParagraph"/>
        <w:numPr>
          <w:ilvl w:val="0"/>
          <w:numId w:val="5"/>
        </w:numPr>
        <w:spacing w:after="0"/>
      </w:pPr>
      <w:r>
        <w:t xml:space="preserve">IOUs will display a qualitative certainty metric rating for all projects included in the LNBA </w:t>
      </w:r>
      <w:r w:rsidR="00AF3CF2">
        <w:t>maps</w:t>
      </w:r>
      <w:r>
        <w:t xml:space="preserve"> illustrating low, medium, and high certainty of the need staying in the year in which it’s currently forecasted.</w:t>
      </w:r>
    </w:p>
    <w:p w14:paraId="4493103B" w14:textId="77777777" w:rsidR="00B5064B" w:rsidRDefault="00B5064B" w:rsidP="00B5064B">
      <w:pPr>
        <w:pStyle w:val="ListParagraph"/>
        <w:spacing w:after="0"/>
      </w:pPr>
    </w:p>
    <w:p w14:paraId="5111153D" w14:textId="77777777" w:rsidR="00062F4C" w:rsidRDefault="00062F4C" w:rsidP="00D04B9A">
      <w:pPr>
        <w:pStyle w:val="Heading1"/>
        <w:spacing w:before="0"/>
      </w:pPr>
      <w:r>
        <w:t>Introduction and Background</w:t>
      </w:r>
    </w:p>
    <w:p w14:paraId="237817B2" w14:textId="614228F4" w:rsidR="00D704EA" w:rsidRDefault="00D704EA" w:rsidP="00D704EA">
      <w:pPr>
        <w:spacing w:after="0"/>
      </w:pPr>
      <w:r>
        <w:t xml:space="preserve">Currently the LNBA tool does not incorporate forecast uncertainty within the distribution need calculations or in the output </w:t>
      </w:r>
      <w:r w:rsidR="00B470C2">
        <w:t xml:space="preserve">calculations </w:t>
      </w:r>
      <w:r>
        <w:t xml:space="preserve">of the tool. Incorporating an uncertainty metric within the LNBA tool was a non-consensus item in the LNBA working group final report. </w:t>
      </w:r>
      <w:r w:rsidR="00B470C2">
        <w:t>The LNBA long term refinements working group will discuss how the deferral framework within DRP Track 3 addresses uncertainty and/or how such a value could be included in the LNBA tool and represented on a heat map.</w:t>
      </w:r>
      <w:r w:rsidR="00B470C2">
        <w:rPr>
          <w:rStyle w:val="FootnoteReference"/>
        </w:rPr>
        <w:footnoteReference w:id="1"/>
      </w:r>
      <w:r w:rsidR="00DE495C">
        <w:t xml:space="preserve"> The Assigned Commissioners Ruling on the Track 1 long term refinements identified this topic as a second tier item that is to be discussed after higher priority tier 1 topics.</w:t>
      </w:r>
      <w:r w:rsidR="00DE495C">
        <w:rPr>
          <w:rStyle w:val="FootnoteReference"/>
        </w:rPr>
        <w:footnoteReference w:id="2"/>
      </w:r>
      <w:r w:rsidR="00DE495C">
        <w:t xml:space="preserve"> </w:t>
      </w:r>
      <w:r w:rsidR="0021185D">
        <w:t>At the third long term refinement LNBA working group meeting held on September 19, 2017</w:t>
      </w:r>
      <w:r w:rsidR="00FA637A">
        <w:t>,</w:t>
      </w:r>
      <w:r w:rsidR="0021185D">
        <w:t xml:space="preserve"> the joint IOUs presented to the </w:t>
      </w:r>
      <w:r w:rsidR="0021185D">
        <w:lastRenderedPageBreak/>
        <w:t>greater working group the recommendations for project certainty to be used as one of the prioritization metrics to select potentially deferrable projects to be include</w:t>
      </w:r>
      <w:r w:rsidR="009C351D">
        <w:t>d in an RFO for DER products/</w:t>
      </w:r>
      <w:r w:rsidR="0021185D">
        <w:t>services</w:t>
      </w:r>
      <w:r w:rsidR="00D95596">
        <w:t xml:space="preserve"> and a qualitative certainty metric would be included on the LNBA maps</w:t>
      </w:r>
      <w:r w:rsidR="0021185D">
        <w:t>.</w:t>
      </w:r>
      <w:r w:rsidR="00016676">
        <w:t xml:space="preserve"> This aligns with the</w:t>
      </w:r>
      <w:r w:rsidR="00D95596">
        <w:t xml:space="preserve"> current expectations of</w:t>
      </w:r>
      <w:r w:rsidR="00016676">
        <w:t xml:space="preserve"> DRP Track 3 Sub-Track 3</w:t>
      </w:r>
      <w:r w:rsidR="00D95596">
        <w:t xml:space="preserve"> and meets the goals of the long term refinement item 7 - Incorporate (forecasting) uncertainty metric in LNBA tool for planned deferrable p</w:t>
      </w:r>
      <w:r w:rsidR="00D95596" w:rsidRPr="00D95596">
        <w:t>rojects</w:t>
      </w:r>
      <w:r w:rsidR="00E70EEF">
        <w:t xml:space="preserve"> in the Assigned Commissioner’s Ruling dated June 7, 2017</w:t>
      </w:r>
      <w:r w:rsidR="00FA637A">
        <w:t>.</w:t>
      </w:r>
    </w:p>
    <w:p w14:paraId="23468972" w14:textId="77777777" w:rsidR="00B5064B" w:rsidRDefault="00B5064B" w:rsidP="00D704EA">
      <w:pPr>
        <w:spacing w:after="0"/>
      </w:pPr>
    </w:p>
    <w:p w14:paraId="5E2701AE" w14:textId="14DC2CB1" w:rsidR="002E2DF9" w:rsidRDefault="00062F4C" w:rsidP="002E2DF9">
      <w:pPr>
        <w:pStyle w:val="Heading1"/>
        <w:spacing w:before="0"/>
      </w:pPr>
      <w:r>
        <w:t>Discussion</w:t>
      </w:r>
    </w:p>
    <w:p w14:paraId="1E2F75F9" w14:textId="63E5BBF5" w:rsidR="000F4288" w:rsidRDefault="00B80231" w:rsidP="002E2DF9">
      <w:pPr>
        <w:spacing w:after="0"/>
      </w:pPr>
      <w:r>
        <w:t xml:space="preserve">The “certainty” or “uncertainty” metric referenced in this topic relates specifically to forecasting and more precisely to the year in which a projected distribution need is forecasted to occur. Certainty in this context is not related to </w:t>
      </w:r>
      <w:r w:rsidR="005609B2">
        <w:t>the feasibility of</w:t>
      </w:r>
      <w:r>
        <w:t xml:space="preserve"> DERs successfully meet</w:t>
      </w:r>
      <w:r w:rsidR="005609B2">
        <w:t>ing</w:t>
      </w:r>
      <w:r>
        <w:t xml:space="preserve"> the identified distribution need. </w:t>
      </w:r>
      <w:r w:rsidR="000F4288">
        <w:t xml:space="preserve">The certainty metric should be used as one of the </w:t>
      </w:r>
      <w:r w:rsidR="000F4288" w:rsidRPr="00726291">
        <w:t>prioritization</w:t>
      </w:r>
      <w:r w:rsidR="000F4288">
        <w:t xml:space="preserve"> variables to select deferrable projects to move to RFO</w:t>
      </w:r>
      <w:r w:rsidR="00D24D5D">
        <w:t xml:space="preserve"> for DER procurement</w:t>
      </w:r>
      <w:r w:rsidR="000F4288">
        <w:t xml:space="preserve"> </w:t>
      </w:r>
      <w:r w:rsidR="00726291">
        <w:t xml:space="preserve">but should </w:t>
      </w:r>
      <w:r w:rsidR="000F4288">
        <w:t>not be used to</w:t>
      </w:r>
      <w:r w:rsidR="00D24D5D">
        <w:t xml:space="preserve"> further</w:t>
      </w:r>
      <w:r w:rsidR="000F4288">
        <w:t xml:space="preserve"> screen out </w:t>
      </w:r>
      <w:r w:rsidR="00726291">
        <w:t xml:space="preserve">or remove </w:t>
      </w:r>
      <w:r w:rsidR="000F4288">
        <w:t>proje</w:t>
      </w:r>
      <w:r w:rsidR="00441617">
        <w:t xml:space="preserve">cts </w:t>
      </w:r>
      <w:r w:rsidR="00726291">
        <w:t>that would otherwise be</w:t>
      </w:r>
      <w:r w:rsidR="00441617">
        <w:t xml:space="preserve"> included in the LNBA. In this way, the LNBA will not be limited to the select number of projects in which DERs are actively being procured to defer. </w:t>
      </w:r>
      <w:r w:rsidR="0072594F">
        <w:t>Projects that pass</w:t>
      </w:r>
      <w:r w:rsidR="005609B2">
        <w:t xml:space="preserve"> the existing assumed</w:t>
      </w:r>
      <w:r w:rsidR="0072594F">
        <w:t xml:space="preserve"> technical screen</w:t>
      </w:r>
      <w:r w:rsidR="008C2C09">
        <w:t>, based on services identified in the IDER OIR: Capacity, Volt/VAR, Reliability (Back-Tie), Resiliency (Microgrid), and the timing screen: the length of time to procure and install DER, will be included in the LNBA tool.</w:t>
      </w:r>
      <w:r w:rsidR="005609B2">
        <w:t xml:space="preserve"> If </w:t>
      </w:r>
      <w:r w:rsidR="00726291">
        <w:t xml:space="preserve">the </w:t>
      </w:r>
      <w:r w:rsidR="005609B2">
        <w:t>screens</w:t>
      </w:r>
      <w:r w:rsidR="00726291">
        <w:t xml:space="preserve"> are modified or expanded</w:t>
      </w:r>
      <w:r w:rsidR="005609B2">
        <w:t xml:space="preserve"> in future decisions the inclusion of projects within the LNBA would reflect those changes.</w:t>
      </w:r>
      <w:r w:rsidR="008C2C09">
        <w:t xml:space="preserve"> </w:t>
      </w:r>
    </w:p>
    <w:p w14:paraId="5CF2C15C" w14:textId="77777777" w:rsidR="008C2C09" w:rsidRDefault="008C2C09" w:rsidP="002E2DF9">
      <w:pPr>
        <w:spacing w:after="0"/>
      </w:pPr>
    </w:p>
    <w:p w14:paraId="441380D9" w14:textId="5FC594F3" w:rsidR="00DF55F4" w:rsidRDefault="00E02CFE" w:rsidP="002E2DF9">
      <w:pPr>
        <w:spacing w:after="0"/>
      </w:pPr>
      <w:r>
        <w:t xml:space="preserve">The total set of projects included in the LNBA will then be further prioritized for selection to be </w:t>
      </w:r>
      <w:r w:rsidR="00590934">
        <w:t>incorporated</w:t>
      </w:r>
      <w:r>
        <w:t xml:space="preserve"> in a future RFO for DER products/services. </w:t>
      </w:r>
      <w:r w:rsidR="000B2F40">
        <w:t xml:space="preserve">A certainty metric will be applied </w:t>
      </w:r>
      <w:r w:rsidR="00590934">
        <w:t>within the</w:t>
      </w:r>
      <w:r w:rsidR="000B2F40">
        <w:t xml:space="preserve"> prioritization </w:t>
      </w:r>
      <w:r w:rsidR="00A170C2">
        <w:t xml:space="preserve">process </w:t>
      </w:r>
      <w:r w:rsidR="000B2F40">
        <w:t>that will further screen out non de</w:t>
      </w:r>
      <w:r w:rsidR="00A170C2">
        <w:t xml:space="preserve">sirable candidates for deferral. </w:t>
      </w:r>
      <w:r w:rsidR="006872B2">
        <w:t>Certainty is a qualitative metric that relative</w:t>
      </w:r>
      <w:r w:rsidR="00726291">
        <w:t>s</w:t>
      </w:r>
      <w:r w:rsidR="006872B2">
        <w:t xml:space="preserve"> to the timing of the distribution need and load growth or generation project that is driving the need. </w:t>
      </w:r>
      <w:r w:rsidR="00726291">
        <w:t>Since</w:t>
      </w:r>
      <w:r w:rsidR="000F4288">
        <w:t xml:space="preserve"> forecasts are inherently uncertain</w:t>
      </w:r>
      <w:r w:rsidR="00726291">
        <w:t>,</w:t>
      </w:r>
      <w:r w:rsidR="000F4288">
        <w:t xml:space="preserve"> as forecast</w:t>
      </w:r>
      <w:r w:rsidR="00007594">
        <w:t xml:space="preserve">s </w:t>
      </w:r>
      <w:r w:rsidR="00726291">
        <w:t xml:space="preserve">look </w:t>
      </w:r>
      <w:r w:rsidR="000F4288">
        <w:t>f</w:t>
      </w:r>
      <w:r w:rsidR="00D97906">
        <w:t>urther into the future, distribution needs closer to present day are more certain and would be prioritized</w:t>
      </w:r>
      <w:r w:rsidR="00007594">
        <w:t xml:space="preserve"> higher</w:t>
      </w:r>
      <w:r w:rsidR="00D97906">
        <w:t xml:space="preserve"> to be selected for RFO purposes. </w:t>
      </w:r>
      <w:r w:rsidR="00FC569E">
        <w:t>In addition,</w:t>
      </w:r>
      <w:r w:rsidR="003B1F0B">
        <w:t xml:space="preserve"> as customers become closer to completing construction (e.g.</w:t>
      </w:r>
      <w:r w:rsidR="00AF3ABF">
        <w:t>,</w:t>
      </w:r>
      <w:r w:rsidR="003B1F0B">
        <w:t xml:space="preserve"> new building, solar farm) formal interconnection requests are received indicating those customers intend to actually connect and utilize the distribution system. </w:t>
      </w:r>
      <w:r w:rsidR="00F146E0">
        <w:t xml:space="preserve">Combining these qualitative assessments with how persistent and significant the capacity limits are exceeded in multiple planning cycle iterations allows the IOUs to make an assessment on how </w:t>
      </w:r>
      <w:r w:rsidR="00085301">
        <w:t xml:space="preserve">likely </w:t>
      </w:r>
      <w:r w:rsidR="00F146E0">
        <w:t>a distribution need is to occur</w:t>
      </w:r>
      <w:r w:rsidR="00FB6829">
        <w:t xml:space="preserve"> in the year forecasted</w:t>
      </w:r>
      <w:r w:rsidR="00F146E0">
        <w:t xml:space="preserve">.  The IOUs will utilize these metrics to rate the potentially deferrable projects to then move to the RFO process and also be reflected in the LNBA </w:t>
      </w:r>
      <w:r w:rsidR="00FB6829">
        <w:t>map</w:t>
      </w:r>
      <w:r w:rsidR="00085301">
        <w:t>s</w:t>
      </w:r>
      <w:r w:rsidR="00F146E0">
        <w:t xml:space="preserve">. </w:t>
      </w:r>
    </w:p>
    <w:p w14:paraId="7C5C5AF1" w14:textId="5E5AAE5E" w:rsidR="00266AEB" w:rsidRDefault="00266AEB" w:rsidP="002E2DF9">
      <w:pPr>
        <w:spacing w:after="0"/>
      </w:pPr>
    </w:p>
    <w:p w14:paraId="348B481F" w14:textId="701BE06D" w:rsidR="00266AEB" w:rsidRDefault="00266AEB" w:rsidP="002E2DF9">
      <w:pPr>
        <w:spacing w:after="0"/>
      </w:pPr>
      <w:r>
        <w:t>The working group seemed to have consensus that the IOU proposals</w:t>
      </w:r>
      <w:r w:rsidR="000B3865">
        <w:t xml:space="preserve"> for application of the certainty metric</w:t>
      </w:r>
      <w:r>
        <w:t xml:space="preserve"> </w:t>
      </w:r>
      <w:r w:rsidR="00803709">
        <w:t xml:space="preserve">is appropriate </w:t>
      </w:r>
      <w:r>
        <w:t>for the heat map use case and the distribution infrastructure deferral framework</w:t>
      </w:r>
      <w:r w:rsidR="00803709">
        <w:t xml:space="preserve"> (DIDF)</w:t>
      </w:r>
      <w:r>
        <w:t xml:space="preserve"> use case stated in the recent Track 1 LNBA and ICA short term issue</w:t>
      </w:r>
      <w:r w:rsidR="00207E4F">
        <w:t>s</w:t>
      </w:r>
      <w:r>
        <w:t xml:space="preserve"> </w:t>
      </w:r>
      <w:r w:rsidR="0058480D">
        <w:t>D</w:t>
      </w:r>
      <w:bookmarkStart w:id="0" w:name="_GoBack"/>
      <w:bookmarkEnd w:id="0"/>
      <w:r w:rsidR="00082BCE">
        <w:t>ecision</w:t>
      </w:r>
      <w:r>
        <w:t>. However</w:t>
      </w:r>
      <w:r w:rsidR="000B3865">
        <w:t>,</w:t>
      </w:r>
      <w:r w:rsidR="00B832C8">
        <w:t xml:space="preserve"> </w:t>
      </w:r>
      <w:r w:rsidR="00B832C8">
        <w:t>consensus was not reached</w:t>
      </w:r>
      <w:r>
        <w:t xml:space="preserve"> </w:t>
      </w:r>
      <w:r w:rsidR="00B832C8">
        <w:t xml:space="preserve">regarding </w:t>
      </w:r>
      <w:r>
        <w:t xml:space="preserve">how </w:t>
      </w:r>
      <w:r w:rsidR="000B3865">
        <w:t xml:space="preserve">uncertainty </w:t>
      </w:r>
      <w:r w:rsidR="002F0537">
        <w:t>of a</w:t>
      </w:r>
      <w:r w:rsidR="00623B63">
        <w:t xml:space="preserve"> traditional</w:t>
      </w:r>
      <w:r w:rsidR="000B3865">
        <w:t xml:space="preserve"> project can be further incorporated into the LNBA </w:t>
      </w:r>
      <w:r w:rsidR="004A0C79">
        <w:t>calculation</w:t>
      </w:r>
      <w:r w:rsidR="00623B63">
        <w:t xml:space="preserve">. </w:t>
      </w:r>
      <w:r w:rsidR="00B832C8">
        <w:t>Certainty should not be incorporated into the LNBA</w:t>
      </w:r>
      <w:r w:rsidR="00A63C92">
        <w:t xml:space="preserve"> calculation</w:t>
      </w:r>
      <w:r w:rsidR="00B832C8">
        <w:t xml:space="preserve"> and only be used to prioritize which projects are selected for potential deferral through procurement of DER services. Distribution projects </w:t>
      </w:r>
      <w:r w:rsidR="00C56918">
        <w:t>are developed by analyzing a</w:t>
      </w:r>
      <w:r w:rsidR="00B832C8">
        <w:t xml:space="preserve"> forecast and comparing against equipment limitations. </w:t>
      </w:r>
      <w:r w:rsidR="00C56918">
        <w:t xml:space="preserve">That being the case, the forecast used for distribution </w:t>
      </w:r>
      <w:r w:rsidR="00A63C92">
        <w:t>planning purposes should be as certain as possible to which distribution projects are created.</w:t>
      </w:r>
      <w:r w:rsidR="00C56918">
        <w:t xml:space="preserve"> </w:t>
      </w:r>
      <w:r w:rsidR="007F49ED">
        <w:t xml:space="preserve"> </w:t>
      </w:r>
    </w:p>
    <w:p w14:paraId="65C7B709" w14:textId="304B5F5E" w:rsidR="00207E4F" w:rsidRDefault="00207E4F" w:rsidP="002E2DF9">
      <w:pPr>
        <w:spacing w:after="0"/>
      </w:pPr>
      <w:r>
        <w:lastRenderedPageBreak/>
        <w:t xml:space="preserve">The third use case as part of the recent Track 1 </w:t>
      </w:r>
      <w:r w:rsidR="0058480D">
        <w:t xml:space="preserve">Decision on </w:t>
      </w:r>
      <w:r>
        <w:t xml:space="preserve">LNBA and ICA short term issues </w:t>
      </w:r>
      <w:r w:rsidR="00965A2D">
        <w:t xml:space="preserve">indicates future iterations to the LNBA tool will be required </w:t>
      </w:r>
      <w:r w:rsidR="001059E4">
        <w:t>to develop location-specific avoided T&amp;D costs for input into the DERAC.</w:t>
      </w:r>
      <w:r w:rsidR="001059E4">
        <w:rPr>
          <w:rStyle w:val="FootnoteReference"/>
        </w:rPr>
        <w:footnoteReference w:id="3"/>
      </w:r>
      <w:r w:rsidR="001059E4">
        <w:t xml:space="preserve"> </w:t>
      </w:r>
      <w:r w:rsidR="007A626E">
        <w:t>Th</w:t>
      </w:r>
      <w:r w:rsidR="00AC030F">
        <w:t xml:space="preserve">e </w:t>
      </w:r>
      <w:r w:rsidR="0058480D">
        <w:t>D</w:t>
      </w:r>
      <w:r w:rsidR="00AC030F">
        <w:t>ecision</w:t>
      </w:r>
      <w:r w:rsidR="007A626E">
        <w:t xml:space="preserve"> further explains expectations for the third use case referencing the need for IOUs to calculate t</w:t>
      </w:r>
      <w:r w:rsidR="001E6EF0">
        <w:t>he probability of unanticipated</w:t>
      </w:r>
      <w:r w:rsidR="007A626E">
        <w:t xml:space="preserve"> T&amp;D projects up to a 30-year window and the necessity to determine grid needs and planned projects absent of the anticipated “autonomous growth” of DERs. </w:t>
      </w:r>
      <w:r w:rsidR="007A626E">
        <w:rPr>
          <w:rStyle w:val="FootnoteReference"/>
        </w:rPr>
        <w:footnoteReference w:id="4"/>
      </w:r>
      <w:r w:rsidR="007A626E">
        <w:t xml:space="preserve"> </w:t>
      </w:r>
      <w:r w:rsidR="00AC030F">
        <w:t xml:space="preserve">The </w:t>
      </w:r>
      <w:r w:rsidR="0058480D">
        <w:t>D</w:t>
      </w:r>
      <w:r w:rsidR="00AC030F">
        <w:t>ecision then illustrates the need for these types of analysis to enable DERAC to accurately inform DER tariffs and programs.</w:t>
      </w:r>
      <w:r w:rsidR="00AC030F">
        <w:rPr>
          <w:rStyle w:val="FootnoteReference"/>
        </w:rPr>
        <w:footnoteReference w:id="5"/>
      </w:r>
      <w:r w:rsidR="00AC030F">
        <w:t xml:space="preserve"> </w:t>
      </w:r>
      <w:r w:rsidR="003C110A">
        <w:t>Concerns from the</w:t>
      </w:r>
      <w:r w:rsidR="002A08BC">
        <w:t xml:space="preserve"> working group </w:t>
      </w:r>
      <w:r w:rsidR="003C110A">
        <w:t xml:space="preserve">identified that if the LNBA will begin to inform DER tariffs and programs, that an uncertainty metric should be incorporated into the LNBA calculation. </w:t>
      </w:r>
      <w:r w:rsidR="0058480D">
        <w:t xml:space="preserve"> O</w:t>
      </w:r>
      <w:r w:rsidR="00750F24">
        <w:t>rdering paragraph 15 requires</w:t>
      </w:r>
      <w:r w:rsidR="007C7D44">
        <w:t xml:space="preserve"> the IOUs to file a proposal within</w:t>
      </w:r>
      <w:r w:rsidR="00750F24">
        <w:t xml:space="preserve"> 60 days</w:t>
      </w:r>
      <w:r w:rsidR="007C7D44">
        <w:t xml:space="preserve"> containing</w:t>
      </w:r>
      <w:r w:rsidR="00750F24">
        <w:t xml:space="preserve"> methodological approaches to achieve the third use case referenced above.</w:t>
      </w:r>
      <w:r w:rsidR="00750F24">
        <w:rPr>
          <w:rStyle w:val="FootnoteReference"/>
        </w:rPr>
        <w:footnoteReference w:id="6"/>
      </w:r>
      <w:r w:rsidR="00750F24">
        <w:t xml:space="preserve">  </w:t>
      </w:r>
      <w:r w:rsidR="009134E3">
        <w:t>Ordering paragraph 15 continues to reference the CPUC to solicit further stakeholder input and convene joint workshops to discuss proposals.</w:t>
      </w:r>
      <w:r w:rsidR="007C7D44" w:rsidRPr="007C7D44">
        <w:t xml:space="preserve"> </w:t>
      </w:r>
      <w:r w:rsidR="007C7D44">
        <w:t>Further discussion regarding forecast uncertainty metrics being incorporated into the LNBA calculation could be warranted</w:t>
      </w:r>
      <w:r w:rsidR="009134E3">
        <w:t xml:space="preserve"> </w:t>
      </w:r>
      <w:r w:rsidR="007C7D44">
        <w:t>i</w:t>
      </w:r>
      <w:r w:rsidR="00F75A81">
        <w:t>f the CPUC issues a decision requiring the third use case referenced above to be achieved</w:t>
      </w:r>
      <w:r w:rsidR="007C7D44">
        <w:t xml:space="preserve"> based on the requirements in the decision.</w:t>
      </w:r>
      <w:r w:rsidR="00A846EF">
        <w:t xml:space="preserve"> </w:t>
      </w:r>
      <w:r w:rsidR="00003714">
        <w:t>If future discussion on forecast uncertainty inclusion in the LNBA calcu</w:t>
      </w:r>
      <w:r w:rsidR="007C7D44">
        <w:t>lation is to take place, it should</w:t>
      </w:r>
      <w:r w:rsidR="00003714">
        <w:t xml:space="preserve"> occur during the workshops used to develop the third use case.  </w:t>
      </w:r>
    </w:p>
    <w:p w14:paraId="348FAF2F" w14:textId="77777777" w:rsidR="00062F4C" w:rsidRDefault="00062F4C" w:rsidP="004D729D">
      <w:pPr>
        <w:spacing w:after="0"/>
      </w:pPr>
    </w:p>
    <w:p w14:paraId="07407418" w14:textId="77777777" w:rsidR="00062F4C" w:rsidRDefault="00062F4C" w:rsidP="00D04B9A">
      <w:pPr>
        <w:pStyle w:val="Heading1"/>
        <w:spacing w:before="0"/>
      </w:pPr>
      <w:r>
        <w:t>Conclusion and Next Steps</w:t>
      </w:r>
    </w:p>
    <w:p w14:paraId="4EB28446" w14:textId="1B538C36" w:rsidR="006B3453" w:rsidRDefault="005E2A8A" w:rsidP="00D04B9A">
      <w:pPr>
        <w:pStyle w:val="ListParagraph"/>
        <w:numPr>
          <w:ilvl w:val="0"/>
          <w:numId w:val="3"/>
        </w:numPr>
        <w:spacing w:after="0"/>
      </w:pPr>
      <w:r>
        <w:t xml:space="preserve">LNBA will include all potentially deferrable projects that are output from the Distribution Planning Process </w:t>
      </w:r>
    </w:p>
    <w:p w14:paraId="0E3B7DBE" w14:textId="3F20251C" w:rsidR="005E2A8A" w:rsidRDefault="005E2A8A" w:rsidP="00D04B9A">
      <w:pPr>
        <w:pStyle w:val="ListParagraph"/>
        <w:numPr>
          <w:ilvl w:val="0"/>
          <w:numId w:val="3"/>
        </w:numPr>
        <w:spacing w:after="0"/>
      </w:pPr>
      <w:r>
        <w:t xml:space="preserve">IOUs will display the qualitative certainty metric (low, medium, high) </w:t>
      </w:r>
      <w:r w:rsidR="00AF3ABF">
        <w:t>as an additional</w:t>
      </w:r>
      <w:r>
        <w:t xml:space="preserve"> LNBA map layer</w:t>
      </w:r>
    </w:p>
    <w:p w14:paraId="7B04AC7F" w14:textId="0BD18C88" w:rsidR="005E2A8A" w:rsidRDefault="005E2A8A" w:rsidP="00D04B9A">
      <w:pPr>
        <w:pStyle w:val="ListParagraph"/>
        <w:numPr>
          <w:ilvl w:val="0"/>
          <w:numId w:val="3"/>
        </w:numPr>
        <w:spacing w:after="0"/>
      </w:pPr>
      <w:r>
        <w:t>Certainty</w:t>
      </w:r>
      <w:r w:rsidR="009C351D">
        <w:t xml:space="preserve"> will be applied as one of the prioritization metrics utilized to select the best project to move forward to the RFO process to procure DER for products/services</w:t>
      </w:r>
    </w:p>
    <w:p w14:paraId="13927C71" w14:textId="5696601B" w:rsidR="00393F80" w:rsidRPr="006B3453" w:rsidRDefault="002D69BB" w:rsidP="00D04B9A">
      <w:pPr>
        <w:pStyle w:val="ListParagraph"/>
        <w:numPr>
          <w:ilvl w:val="0"/>
          <w:numId w:val="3"/>
        </w:numPr>
        <w:spacing w:after="0"/>
      </w:pPr>
      <w:r>
        <w:t>Further discussion regarding the incorporation of forecast uncertainty within the LNBA calculation could be warranted</w:t>
      </w:r>
      <w:r w:rsidR="00C47823">
        <w:t>. The third use case</w:t>
      </w:r>
      <w:r w:rsidR="000D66DE">
        <w:t xml:space="preserve"> </w:t>
      </w:r>
      <w:r>
        <w:t>direct</w:t>
      </w:r>
      <w:r w:rsidR="00C47823">
        <w:t>s</w:t>
      </w:r>
      <w:r w:rsidR="000D66DE">
        <w:t xml:space="preserve"> further iterations of the LNBA tool for input into DERAC to inform future tariffs and programs</w:t>
      </w:r>
      <w:r w:rsidR="005E443A">
        <w:t>, for which IOUs would submit a proposal. Future discussions on this s</w:t>
      </w:r>
      <w:r w:rsidR="00357F9A">
        <w:t xml:space="preserve">ubject should take place in workshops driven by the Track 1 ICA and LNBA Short term issues decision. </w:t>
      </w:r>
      <w:r w:rsidR="005E443A">
        <w:t xml:space="preserve"> </w:t>
      </w:r>
    </w:p>
    <w:sectPr w:rsidR="00393F80" w:rsidRPr="006B34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F21F71" w14:textId="77777777" w:rsidR="007074B7" w:rsidRDefault="007074B7" w:rsidP="00B470C2">
      <w:pPr>
        <w:spacing w:after="0" w:line="240" w:lineRule="auto"/>
      </w:pPr>
      <w:r>
        <w:separator/>
      </w:r>
    </w:p>
  </w:endnote>
  <w:endnote w:type="continuationSeparator" w:id="0">
    <w:p w14:paraId="2B411770" w14:textId="77777777" w:rsidR="007074B7" w:rsidRDefault="007074B7" w:rsidP="00B47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DE08D" w14:textId="77777777" w:rsidR="007074B7" w:rsidRDefault="007074B7" w:rsidP="00B470C2">
      <w:pPr>
        <w:spacing w:after="0" w:line="240" w:lineRule="auto"/>
      </w:pPr>
      <w:r>
        <w:separator/>
      </w:r>
    </w:p>
  </w:footnote>
  <w:footnote w:type="continuationSeparator" w:id="0">
    <w:p w14:paraId="0B193D5D" w14:textId="77777777" w:rsidR="007074B7" w:rsidRDefault="007074B7" w:rsidP="00B470C2">
      <w:pPr>
        <w:spacing w:after="0" w:line="240" w:lineRule="auto"/>
      </w:pPr>
      <w:r>
        <w:continuationSeparator/>
      </w:r>
    </w:p>
  </w:footnote>
  <w:footnote w:id="1">
    <w:p w14:paraId="591CB25E" w14:textId="730AF18A" w:rsidR="00B470C2" w:rsidRDefault="00B470C2">
      <w:pPr>
        <w:pStyle w:val="FootnoteText"/>
      </w:pPr>
      <w:r>
        <w:rPr>
          <w:rStyle w:val="FootnoteReference"/>
        </w:rPr>
        <w:footnoteRef/>
      </w:r>
      <w:r>
        <w:t xml:space="preserve"> “Locational Net Benefits Analysis Working Group – Long Term Refinement Topics Scoping Document,” More Than Smart, pg. 6.</w:t>
      </w:r>
    </w:p>
  </w:footnote>
  <w:footnote w:id="2">
    <w:p w14:paraId="26599436" w14:textId="24FCAFD3" w:rsidR="00DE495C" w:rsidRDefault="00DE495C">
      <w:pPr>
        <w:pStyle w:val="FootnoteText"/>
      </w:pPr>
      <w:r>
        <w:rPr>
          <w:rStyle w:val="FootnoteReference"/>
        </w:rPr>
        <w:footnoteRef/>
      </w:r>
      <w:r>
        <w:t xml:space="preserve"> “Assigned Commissioner’s Ruling Setting Scope and Schedule for Continued Long Term Refinement Discussions Pertaining to the Integration Capacity Analysis and Locational Net Benefits Analysis in Track One of the Distribution Resources Plan P</w:t>
      </w:r>
      <w:r w:rsidR="00F74A08">
        <w:t>roceeding,” June 6, 2017, pg. 13</w:t>
      </w:r>
      <w:r>
        <w:t>.</w:t>
      </w:r>
    </w:p>
  </w:footnote>
  <w:footnote w:id="3">
    <w:p w14:paraId="7BB677F3" w14:textId="08917E70" w:rsidR="001059E4" w:rsidRDefault="001059E4">
      <w:pPr>
        <w:pStyle w:val="FootnoteText"/>
      </w:pPr>
      <w:r>
        <w:rPr>
          <w:rStyle w:val="FootnoteReference"/>
        </w:rPr>
        <w:footnoteRef/>
      </w:r>
      <w:r>
        <w:t xml:space="preserve"> Decision on Track 1 Demonstration Projects A (integration Capacity Analysis) and B (Locational Net Benefits Analysis), Proposed Decision</w:t>
      </w:r>
      <w:r w:rsidR="007A626E">
        <w:t xml:space="preserve"> Rev 1,</w:t>
      </w:r>
      <w:r>
        <w:t xml:space="preserve">  9/28/</w:t>
      </w:r>
      <w:r w:rsidR="00DD70F4">
        <w:t>2017 pg 46</w:t>
      </w:r>
      <w:r>
        <w:t xml:space="preserve"> </w:t>
      </w:r>
    </w:p>
  </w:footnote>
  <w:footnote w:id="4">
    <w:p w14:paraId="014C7F34" w14:textId="084BEC78" w:rsidR="007A626E" w:rsidRDefault="007A626E">
      <w:pPr>
        <w:pStyle w:val="FootnoteText"/>
      </w:pPr>
      <w:r>
        <w:rPr>
          <w:rStyle w:val="FootnoteReference"/>
        </w:rPr>
        <w:footnoteRef/>
      </w:r>
      <w:r>
        <w:t xml:space="preserve"> </w:t>
      </w:r>
      <w:r w:rsidR="00BA0D6D">
        <w:t>IBID. p.</w:t>
      </w:r>
      <w:r>
        <w:t xml:space="preserve"> 48</w:t>
      </w:r>
    </w:p>
  </w:footnote>
  <w:footnote w:id="5">
    <w:p w14:paraId="1D136964" w14:textId="27C54630" w:rsidR="00AC030F" w:rsidRDefault="00AC030F">
      <w:pPr>
        <w:pStyle w:val="FootnoteText"/>
      </w:pPr>
      <w:r>
        <w:rPr>
          <w:rStyle w:val="FootnoteReference"/>
        </w:rPr>
        <w:footnoteRef/>
      </w:r>
      <w:r>
        <w:t xml:space="preserve"> </w:t>
      </w:r>
      <w:r w:rsidR="00BA0D6D">
        <w:t>IBID</w:t>
      </w:r>
      <w:r>
        <w:t xml:space="preserve">, </w:t>
      </w:r>
      <w:r w:rsidR="00BA0D6D">
        <w:t>p.</w:t>
      </w:r>
      <w:r>
        <w:t>49</w:t>
      </w:r>
    </w:p>
  </w:footnote>
  <w:footnote w:id="6">
    <w:p w14:paraId="29830B83" w14:textId="44CBC273" w:rsidR="00750F24" w:rsidRDefault="00750F24">
      <w:pPr>
        <w:pStyle w:val="FootnoteText"/>
      </w:pPr>
      <w:r>
        <w:rPr>
          <w:rStyle w:val="FootnoteReference"/>
        </w:rPr>
        <w:footnoteRef/>
      </w:r>
      <w:r>
        <w:t xml:space="preserve"> </w:t>
      </w:r>
      <w:r w:rsidR="00BA0D6D">
        <w:t xml:space="preserve">IBID, p. </w:t>
      </w:r>
      <w:r>
        <w:t>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76642"/>
    <w:multiLevelType w:val="hybridMultilevel"/>
    <w:tmpl w:val="9D10F57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F910C0"/>
    <w:multiLevelType w:val="hybridMultilevel"/>
    <w:tmpl w:val="982EBBA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0515C4"/>
    <w:multiLevelType w:val="hybridMultilevel"/>
    <w:tmpl w:val="43E8AF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03714"/>
    <w:rsid w:val="00007594"/>
    <w:rsid w:val="00016676"/>
    <w:rsid w:val="00062F4C"/>
    <w:rsid w:val="00082BCE"/>
    <w:rsid w:val="00085301"/>
    <w:rsid w:val="000B2F40"/>
    <w:rsid w:val="000B3865"/>
    <w:rsid w:val="000D66DE"/>
    <w:rsid w:val="000E5296"/>
    <w:rsid w:val="000F4288"/>
    <w:rsid w:val="001059E4"/>
    <w:rsid w:val="00152D7A"/>
    <w:rsid w:val="00165AD7"/>
    <w:rsid w:val="00175998"/>
    <w:rsid w:val="001B6998"/>
    <w:rsid w:val="001E6EF0"/>
    <w:rsid w:val="001F3B25"/>
    <w:rsid w:val="00207E4F"/>
    <w:rsid w:val="0021185D"/>
    <w:rsid w:val="00266AEB"/>
    <w:rsid w:val="002A08BC"/>
    <w:rsid w:val="002C36B6"/>
    <w:rsid w:val="002D69BB"/>
    <w:rsid w:val="002E2DF9"/>
    <w:rsid w:val="002E35BD"/>
    <w:rsid w:val="002F0537"/>
    <w:rsid w:val="0031068E"/>
    <w:rsid w:val="00357F9A"/>
    <w:rsid w:val="0037263B"/>
    <w:rsid w:val="00374141"/>
    <w:rsid w:val="00384C8D"/>
    <w:rsid w:val="00393F80"/>
    <w:rsid w:val="003A1ACC"/>
    <w:rsid w:val="003A2AFB"/>
    <w:rsid w:val="003B1F0B"/>
    <w:rsid w:val="003C110A"/>
    <w:rsid w:val="0040330A"/>
    <w:rsid w:val="00441617"/>
    <w:rsid w:val="0046692D"/>
    <w:rsid w:val="004A0C79"/>
    <w:rsid w:val="004B0AD1"/>
    <w:rsid w:val="004D729D"/>
    <w:rsid w:val="00544CA4"/>
    <w:rsid w:val="005609B2"/>
    <w:rsid w:val="005709D1"/>
    <w:rsid w:val="00570A3A"/>
    <w:rsid w:val="0057298B"/>
    <w:rsid w:val="005769D9"/>
    <w:rsid w:val="0058480D"/>
    <w:rsid w:val="00590934"/>
    <w:rsid w:val="005909F1"/>
    <w:rsid w:val="005963DE"/>
    <w:rsid w:val="005E2A8A"/>
    <w:rsid w:val="005E443A"/>
    <w:rsid w:val="00623B63"/>
    <w:rsid w:val="006872B2"/>
    <w:rsid w:val="006B3453"/>
    <w:rsid w:val="007074B7"/>
    <w:rsid w:val="0072594F"/>
    <w:rsid w:val="00726291"/>
    <w:rsid w:val="00750F24"/>
    <w:rsid w:val="00756A7E"/>
    <w:rsid w:val="007A1836"/>
    <w:rsid w:val="007A626E"/>
    <w:rsid w:val="007C7D44"/>
    <w:rsid w:val="007F49ED"/>
    <w:rsid w:val="00803709"/>
    <w:rsid w:val="008150F2"/>
    <w:rsid w:val="008242FD"/>
    <w:rsid w:val="008C2C09"/>
    <w:rsid w:val="009134E3"/>
    <w:rsid w:val="00965A2D"/>
    <w:rsid w:val="009927E4"/>
    <w:rsid w:val="009C351D"/>
    <w:rsid w:val="009F0DB3"/>
    <w:rsid w:val="009F6B02"/>
    <w:rsid w:val="009F7673"/>
    <w:rsid w:val="00A170C2"/>
    <w:rsid w:val="00A43411"/>
    <w:rsid w:val="00A63C92"/>
    <w:rsid w:val="00A846EF"/>
    <w:rsid w:val="00A91302"/>
    <w:rsid w:val="00AC030F"/>
    <w:rsid w:val="00AF3ABF"/>
    <w:rsid w:val="00AF3CF2"/>
    <w:rsid w:val="00B3792D"/>
    <w:rsid w:val="00B470C2"/>
    <w:rsid w:val="00B5064B"/>
    <w:rsid w:val="00B80231"/>
    <w:rsid w:val="00B832C8"/>
    <w:rsid w:val="00BA0D6D"/>
    <w:rsid w:val="00C12A1C"/>
    <w:rsid w:val="00C14652"/>
    <w:rsid w:val="00C47823"/>
    <w:rsid w:val="00C56918"/>
    <w:rsid w:val="00D04B9A"/>
    <w:rsid w:val="00D24D5D"/>
    <w:rsid w:val="00D373B9"/>
    <w:rsid w:val="00D46D88"/>
    <w:rsid w:val="00D704EA"/>
    <w:rsid w:val="00D95596"/>
    <w:rsid w:val="00D97906"/>
    <w:rsid w:val="00DA043F"/>
    <w:rsid w:val="00DC2625"/>
    <w:rsid w:val="00DD70F4"/>
    <w:rsid w:val="00DE495C"/>
    <w:rsid w:val="00DF55F4"/>
    <w:rsid w:val="00E02CFE"/>
    <w:rsid w:val="00E3243D"/>
    <w:rsid w:val="00E70EEF"/>
    <w:rsid w:val="00E724A0"/>
    <w:rsid w:val="00EA0A98"/>
    <w:rsid w:val="00EB512F"/>
    <w:rsid w:val="00F01ECF"/>
    <w:rsid w:val="00F146E0"/>
    <w:rsid w:val="00F5597F"/>
    <w:rsid w:val="00F74A08"/>
    <w:rsid w:val="00F75A81"/>
    <w:rsid w:val="00F932DC"/>
    <w:rsid w:val="00FA637A"/>
    <w:rsid w:val="00FB6829"/>
    <w:rsid w:val="00FC5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1EF529D3-D99E-4470-80A2-FFA63FAA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B470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70C2"/>
    <w:rPr>
      <w:sz w:val="20"/>
      <w:szCs w:val="20"/>
    </w:rPr>
  </w:style>
  <w:style w:type="character" w:styleId="FootnoteReference">
    <w:name w:val="footnote reference"/>
    <w:basedOn w:val="DefaultParagraphFont"/>
    <w:uiPriority w:val="99"/>
    <w:semiHidden/>
    <w:unhideWhenUsed/>
    <w:rsid w:val="00B470C2"/>
    <w:rPr>
      <w:vertAlign w:val="superscript"/>
    </w:rPr>
  </w:style>
  <w:style w:type="character" w:styleId="CommentReference">
    <w:name w:val="annotation reference"/>
    <w:basedOn w:val="DefaultParagraphFont"/>
    <w:uiPriority w:val="99"/>
    <w:semiHidden/>
    <w:unhideWhenUsed/>
    <w:rsid w:val="00FA637A"/>
    <w:rPr>
      <w:sz w:val="16"/>
      <w:szCs w:val="16"/>
    </w:rPr>
  </w:style>
  <w:style w:type="paragraph" w:styleId="CommentText">
    <w:name w:val="annotation text"/>
    <w:basedOn w:val="Normal"/>
    <w:link w:val="CommentTextChar"/>
    <w:uiPriority w:val="99"/>
    <w:semiHidden/>
    <w:unhideWhenUsed/>
    <w:rsid w:val="00FA637A"/>
    <w:pPr>
      <w:spacing w:line="240" w:lineRule="auto"/>
    </w:pPr>
    <w:rPr>
      <w:sz w:val="20"/>
      <w:szCs w:val="20"/>
    </w:rPr>
  </w:style>
  <w:style w:type="character" w:customStyle="1" w:styleId="CommentTextChar">
    <w:name w:val="Comment Text Char"/>
    <w:basedOn w:val="DefaultParagraphFont"/>
    <w:link w:val="CommentText"/>
    <w:uiPriority w:val="99"/>
    <w:semiHidden/>
    <w:rsid w:val="00FA637A"/>
    <w:rPr>
      <w:sz w:val="20"/>
      <w:szCs w:val="20"/>
    </w:rPr>
  </w:style>
  <w:style w:type="paragraph" w:styleId="CommentSubject">
    <w:name w:val="annotation subject"/>
    <w:basedOn w:val="CommentText"/>
    <w:next w:val="CommentText"/>
    <w:link w:val="CommentSubjectChar"/>
    <w:uiPriority w:val="99"/>
    <w:semiHidden/>
    <w:unhideWhenUsed/>
    <w:rsid w:val="00FA637A"/>
    <w:rPr>
      <w:b/>
      <w:bCs/>
    </w:rPr>
  </w:style>
  <w:style w:type="character" w:customStyle="1" w:styleId="CommentSubjectChar">
    <w:name w:val="Comment Subject Char"/>
    <w:basedOn w:val="CommentTextChar"/>
    <w:link w:val="CommentSubject"/>
    <w:uiPriority w:val="99"/>
    <w:semiHidden/>
    <w:rsid w:val="00FA637A"/>
    <w:rPr>
      <w:b/>
      <w:bCs/>
      <w:sz w:val="20"/>
      <w:szCs w:val="20"/>
    </w:rPr>
  </w:style>
  <w:style w:type="paragraph" w:styleId="BalloonText">
    <w:name w:val="Balloon Text"/>
    <w:basedOn w:val="Normal"/>
    <w:link w:val="BalloonTextChar"/>
    <w:uiPriority w:val="99"/>
    <w:semiHidden/>
    <w:unhideWhenUsed/>
    <w:rsid w:val="00FA63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3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EC9D7-FCCD-487F-A759-1D2DAD3F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3</Pages>
  <Words>1445</Words>
  <Characters>7172</Characters>
  <Application>Microsoft Office Word</Application>
  <DocSecurity>0</DocSecurity>
  <Lines>551</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97</cp:revision>
  <dcterms:created xsi:type="dcterms:W3CDTF">2017-09-19T16:55:00Z</dcterms:created>
  <dcterms:modified xsi:type="dcterms:W3CDTF">2017-09-29T20:31:00Z</dcterms:modified>
</cp:coreProperties>
</file>