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5D6F3" w14:textId="4CEE47CA" w:rsidR="00062F4C" w:rsidRPr="006B3453" w:rsidRDefault="002D54EF" w:rsidP="002D54EF">
      <w:pPr>
        <w:pStyle w:val="Title"/>
        <w:rPr>
          <w:sz w:val="48"/>
        </w:rPr>
      </w:pPr>
      <w:r>
        <w:rPr>
          <w:sz w:val="48"/>
        </w:rPr>
        <w:t>Item</w:t>
      </w:r>
      <w:r w:rsidR="001E1A65">
        <w:rPr>
          <w:sz w:val="48"/>
        </w:rPr>
        <w:t xml:space="preserve"> 4</w:t>
      </w:r>
      <w:r w:rsidR="00062F4C" w:rsidRPr="006B3453">
        <w:rPr>
          <w:sz w:val="48"/>
        </w:rPr>
        <w:t xml:space="preserve">.i: </w:t>
      </w:r>
      <w:r w:rsidR="00FF4DD4">
        <w:rPr>
          <w:sz w:val="48"/>
        </w:rPr>
        <w:t xml:space="preserve">Additional </w:t>
      </w:r>
      <w:r w:rsidR="00C0489D">
        <w:rPr>
          <w:sz w:val="48"/>
        </w:rPr>
        <w:t xml:space="preserve">Locational </w:t>
      </w:r>
      <w:r w:rsidR="00FF4DD4">
        <w:rPr>
          <w:sz w:val="48"/>
        </w:rPr>
        <w:t>Granularity i</w:t>
      </w:r>
      <w:r w:rsidR="001E1A65">
        <w:rPr>
          <w:sz w:val="48"/>
        </w:rPr>
        <w:t xml:space="preserve">nto </w:t>
      </w:r>
      <w:r w:rsidR="00FF4DD4">
        <w:rPr>
          <w:sz w:val="48"/>
        </w:rPr>
        <w:t xml:space="preserve">Avoided </w:t>
      </w:r>
      <w:r w:rsidR="001E1A65">
        <w:rPr>
          <w:sz w:val="48"/>
        </w:rPr>
        <w:t>Energy</w:t>
      </w:r>
    </w:p>
    <w:p w14:paraId="7D43CA11" w14:textId="6DF235BE" w:rsidR="00062F4C" w:rsidRDefault="00062F4C" w:rsidP="002D54EF">
      <w:pPr>
        <w:pStyle w:val="Subtitle"/>
        <w:spacing w:after="0"/>
      </w:pPr>
      <w:r>
        <w:t xml:space="preserve">Joint IOUs’ Initial Proposal </w:t>
      </w:r>
    </w:p>
    <w:p w14:paraId="2A06EE77" w14:textId="6FC3F4E0" w:rsidR="00462CE7" w:rsidRDefault="00462CE7" w:rsidP="002D54EF">
      <w:pPr>
        <w:pStyle w:val="Subtitle"/>
        <w:spacing w:after="0"/>
      </w:pPr>
      <w:r>
        <w:t>LNBA Working Group</w:t>
      </w:r>
    </w:p>
    <w:p w14:paraId="76031831" w14:textId="77777777" w:rsidR="002D54EF" w:rsidRDefault="002D54EF" w:rsidP="002D54EF"/>
    <w:p w14:paraId="5EA38EE3" w14:textId="0A81E750" w:rsidR="007E5DC8" w:rsidRPr="007E5DC8" w:rsidRDefault="007E5DC8" w:rsidP="002D54EF">
      <w:pPr>
        <w:rPr>
          <w:i/>
        </w:rPr>
      </w:pPr>
      <w:r w:rsidRPr="007E5DC8">
        <w:rPr>
          <w:i/>
        </w:rPr>
        <w:t xml:space="preserve">Note: </w:t>
      </w:r>
      <w:r>
        <w:rPr>
          <w:i/>
        </w:rPr>
        <w:t xml:space="preserve">In </w:t>
      </w:r>
      <w:r w:rsidRPr="007E5DC8">
        <w:rPr>
          <w:i/>
        </w:rPr>
        <w:t>the June 7 ACR, Item 4 states</w:t>
      </w:r>
      <w:r>
        <w:rPr>
          <w:i/>
        </w:rPr>
        <w:t>:</w:t>
      </w:r>
      <w:r w:rsidRPr="007E5DC8">
        <w:rPr>
          <w:i/>
        </w:rPr>
        <w:t xml:space="preserve"> “Incorporate additional locational granularity into Energy, Capacity, and Line Losses.” The IOUs have subdivided </w:t>
      </w:r>
      <w:r>
        <w:rPr>
          <w:i/>
        </w:rPr>
        <w:t>this item</w:t>
      </w:r>
      <w:bookmarkStart w:id="0" w:name="_GoBack"/>
      <w:bookmarkEnd w:id="0"/>
      <w:r w:rsidRPr="007E5DC8">
        <w:rPr>
          <w:i/>
        </w:rPr>
        <w:t xml:space="preserve"> into three separate items covering energy, line losses, and capacity (respectively).</w:t>
      </w:r>
    </w:p>
    <w:p w14:paraId="6DEE1E41" w14:textId="7EFF2097" w:rsidR="00062F4C" w:rsidRDefault="00062F4C" w:rsidP="002D54EF">
      <w:pPr>
        <w:pStyle w:val="Heading1"/>
        <w:spacing w:before="0"/>
      </w:pPr>
      <w:r>
        <w:t>Summary of Recommendations</w:t>
      </w:r>
    </w:p>
    <w:p w14:paraId="39252596" w14:textId="77777777" w:rsidR="00462CE7" w:rsidRDefault="00462CE7" w:rsidP="002D54EF">
      <w:pPr>
        <w:pStyle w:val="ListParagraph"/>
        <w:numPr>
          <w:ilvl w:val="0"/>
          <w:numId w:val="4"/>
        </w:numPr>
        <w:spacing w:after="0"/>
      </w:pPr>
      <w:r>
        <w:t>Replace the system-wide avoided energy forecast from the 2016 DERAC with DLAP price forecasts for each IOU.</w:t>
      </w:r>
    </w:p>
    <w:p w14:paraId="1D7BB166" w14:textId="04944AA5" w:rsidR="00462CE7" w:rsidRDefault="00462CE7" w:rsidP="002D54EF">
      <w:pPr>
        <w:pStyle w:val="ListParagraph"/>
        <w:numPr>
          <w:ilvl w:val="1"/>
          <w:numId w:val="4"/>
        </w:numPr>
        <w:spacing w:after="0"/>
      </w:pPr>
      <w:r>
        <w:t>Remove the system-wide avoided energy values currently obtained from Energy and Environmental Economics’ (E3) 2016 Distributed Energy Resource Avoided Cost (DERAC) model.</w:t>
      </w:r>
      <w:r w:rsidR="00D35B62">
        <w:t xml:space="preserve"> </w:t>
      </w:r>
      <w:r>
        <w:t>Add default load aggregation point (DLAP) forecast for the three IOUs.</w:t>
      </w:r>
      <w:r w:rsidRPr="00462CE7">
        <w:t xml:space="preserve"> </w:t>
      </w:r>
      <w:r>
        <w:t>DLAP prices represent the cost that the IOUs incur when serving its customers’ load.</w:t>
      </w:r>
    </w:p>
    <w:p w14:paraId="2D516362" w14:textId="77777777" w:rsidR="00462CE7" w:rsidRPr="0037263B" w:rsidRDefault="00462CE7" w:rsidP="002D54EF">
      <w:pPr>
        <w:pStyle w:val="ListParagraph"/>
        <w:numPr>
          <w:ilvl w:val="0"/>
          <w:numId w:val="4"/>
        </w:numPr>
        <w:spacing w:after="0"/>
      </w:pPr>
      <w:r>
        <w:t>Consistent with current system-wide avoided energy values, the any GHG avoided cost component would be removed from the DLAP forecast since the LNBA tool incorporates a GHG forecast as a separate avoided cost component.</w:t>
      </w:r>
    </w:p>
    <w:p w14:paraId="57A03F75" w14:textId="2BBFB1E2" w:rsidR="007343FB" w:rsidRPr="006B3453" w:rsidRDefault="007343FB" w:rsidP="002D54EF">
      <w:pPr>
        <w:pStyle w:val="ListParagraph"/>
        <w:numPr>
          <w:ilvl w:val="0"/>
          <w:numId w:val="4"/>
        </w:numPr>
        <w:spacing w:after="0"/>
      </w:pPr>
      <w:r>
        <w:t xml:space="preserve">The next step is to </w:t>
      </w:r>
      <w:r w:rsidR="00B65B08">
        <w:t xml:space="preserve">propose </w:t>
      </w:r>
      <w:r>
        <w:t>a methodology for forecasting the DLAP prices.</w:t>
      </w:r>
      <w:r w:rsidR="00462CE7">
        <w:br/>
      </w:r>
    </w:p>
    <w:p w14:paraId="5111153D" w14:textId="4CA1D636" w:rsidR="00062F4C" w:rsidRDefault="00062F4C" w:rsidP="002D54EF">
      <w:pPr>
        <w:pStyle w:val="Heading1"/>
        <w:spacing w:before="0"/>
      </w:pPr>
      <w:r>
        <w:t>Introduction and Background</w:t>
      </w:r>
    </w:p>
    <w:p w14:paraId="414A5240" w14:textId="42772CE0" w:rsidR="00CF09FA" w:rsidRDefault="00233C9D" w:rsidP="002D54EF">
      <w:pPr>
        <w:spacing w:after="0"/>
      </w:pPr>
      <w:r>
        <w:t>The current avoided energy cost utilizes a system-wide forecast obtained from the 2016 DERAC model. The system-wide forecast does not provide any value differentiation between locations. As part of the recommendations following the IOUs’ DRP demonstration project B, the LNBA WG recommended to update the avoided energy cost with more location specific values as an improvement to the LNBA tool.</w:t>
      </w:r>
      <w:r>
        <w:rPr>
          <w:rStyle w:val="FootnoteReference"/>
        </w:rPr>
        <w:footnoteReference w:id="1"/>
      </w:r>
      <w:r>
        <w:t xml:space="preserve"> For the long term refinement of the LNBA, this task is one of the priority items to be accomplished.</w:t>
      </w:r>
      <w:r>
        <w:rPr>
          <w:rStyle w:val="FootnoteReference"/>
        </w:rPr>
        <w:footnoteReference w:id="2"/>
      </w:r>
    </w:p>
    <w:p w14:paraId="00C68110" w14:textId="7F026E66" w:rsidR="00462CE7" w:rsidRDefault="00462CE7" w:rsidP="002D54EF">
      <w:pPr>
        <w:spacing w:after="0"/>
      </w:pPr>
      <w:r>
        <w:t xml:space="preserve">At the first long term refinement LNBA working group (WG) meeting held on July 7, 2017 the joint IOUs presented to the greater WG what was believed to be reasonable alterations to the LNBA spreadsheet tool to address long term refinement item 4 – locational avoided energy in the Assigned Commissioner’s Ruling dated June 7, 2017. </w:t>
      </w:r>
    </w:p>
    <w:p w14:paraId="0CAA5EC5" w14:textId="77777777" w:rsidR="002D54EF" w:rsidRDefault="002D54EF" w:rsidP="002D54EF">
      <w:pPr>
        <w:spacing w:after="0"/>
      </w:pPr>
    </w:p>
    <w:p w14:paraId="400DC907" w14:textId="77777777" w:rsidR="00062F4C" w:rsidRDefault="00062F4C" w:rsidP="002D54EF">
      <w:pPr>
        <w:pStyle w:val="Heading1"/>
        <w:spacing w:before="0"/>
      </w:pPr>
      <w:r>
        <w:t>Discussion</w:t>
      </w:r>
    </w:p>
    <w:p w14:paraId="0E3B4849" w14:textId="5ADEDB88" w:rsidR="00195A46" w:rsidRDefault="00C0489D" w:rsidP="002D54EF">
      <w:pPr>
        <w:spacing w:after="0"/>
      </w:pPr>
      <w:r>
        <w:t xml:space="preserve">The DLAP price is a weighted average of all the locational marginal prices (LMPs) within the DLAP area. The </w:t>
      </w:r>
      <w:r w:rsidR="0097708F">
        <w:t>DLAP area represent</w:t>
      </w:r>
      <w:r>
        <w:t>s</w:t>
      </w:r>
      <w:r w:rsidR="0097708F">
        <w:t xml:space="preserve"> a geographic area </w:t>
      </w:r>
      <w:r>
        <w:t xml:space="preserve">within CAISO </w:t>
      </w:r>
      <w:r w:rsidR="0097708F">
        <w:t>where demand bids “shall be submitted and settled.”</w:t>
      </w:r>
      <w:r w:rsidR="0097708F">
        <w:rPr>
          <w:rStyle w:val="FootnoteReference"/>
        </w:rPr>
        <w:footnoteReference w:id="3"/>
      </w:r>
      <w:r w:rsidR="0097708F">
        <w:t xml:space="preserve"> </w:t>
      </w:r>
      <w:r w:rsidR="00195A46">
        <w:t xml:space="preserve">As noted by California Independent System Operator (CAISO), “load is bid in and settled at the </w:t>
      </w:r>
      <w:r w:rsidR="00195A46">
        <w:lastRenderedPageBreak/>
        <w:t>DLAP LMP as opposed to the nodal LMP.”</w:t>
      </w:r>
      <w:r w:rsidR="00195A46">
        <w:rPr>
          <w:rStyle w:val="FootnoteReference"/>
        </w:rPr>
        <w:footnoteReference w:id="4"/>
      </w:r>
      <w:r w:rsidR="00195A46">
        <w:t xml:space="preserve"> In other words, the DLAP price is what the IOUs pay to serve </w:t>
      </w:r>
      <w:r w:rsidR="0010531B">
        <w:t>their</w:t>
      </w:r>
      <w:r w:rsidR="00195A46">
        <w:t xml:space="preserve"> customers. To follow the avoided cost methodology of the LNBA tool, the locational avoided energy forecast should be the DLAP forecasts associated with each IOU.</w:t>
      </w:r>
    </w:p>
    <w:p w14:paraId="348FAF2F" w14:textId="76251CC0" w:rsidR="00062F4C" w:rsidRDefault="00195A46" w:rsidP="002D54EF">
      <w:pPr>
        <w:spacing w:after="0"/>
      </w:pPr>
      <w:r>
        <w:t>In order for the LNBA tool to be updated with the DLAP forecasts, a methodology must be developed to forecast the DLAP prices.</w:t>
      </w:r>
    </w:p>
    <w:p w14:paraId="53DDDDE6" w14:textId="77777777" w:rsidR="002D54EF" w:rsidRDefault="002D54EF" w:rsidP="002D54EF">
      <w:pPr>
        <w:spacing w:after="0"/>
      </w:pPr>
    </w:p>
    <w:p w14:paraId="07407418" w14:textId="77777777" w:rsidR="00062F4C" w:rsidRDefault="00062F4C" w:rsidP="002D54EF">
      <w:pPr>
        <w:pStyle w:val="Heading1"/>
        <w:spacing w:before="0"/>
      </w:pPr>
      <w:r>
        <w:t>Conclusion and Next Steps</w:t>
      </w:r>
    </w:p>
    <w:p w14:paraId="4EB28446" w14:textId="7D77691D" w:rsidR="006B3453" w:rsidRDefault="007343FB" w:rsidP="002D54EF">
      <w:pPr>
        <w:pStyle w:val="ListParagraph"/>
        <w:numPr>
          <w:ilvl w:val="0"/>
          <w:numId w:val="3"/>
        </w:numPr>
        <w:spacing w:after="0"/>
      </w:pPr>
      <w:r>
        <w:t>Replace the system-wide avoided energy forecast from the 2016 DERAC with DLAP price forecasts for each IOU.</w:t>
      </w:r>
    </w:p>
    <w:p w14:paraId="0DFEA7C8" w14:textId="4FE90096" w:rsidR="007343FB" w:rsidRDefault="007343FB" w:rsidP="002D54EF">
      <w:pPr>
        <w:pStyle w:val="ListParagraph"/>
        <w:numPr>
          <w:ilvl w:val="0"/>
          <w:numId w:val="3"/>
        </w:numPr>
        <w:spacing w:after="0"/>
      </w:pPr>
      <w:r>
        <w:t xml:space="preserve">DLAP prices represent the cost that the IOUs incur when serving </w:t>
      </w:r>
      <w:r w:rsidR="00EE5975">
        <w:t>their</w:t>
      </w:r>
      <w:r>
        <w:t xml:space="preserve"> customers’ load.</w:t>
      </w:r>
    </w:p>
    <w:p w14:paraId="4B67DBCC" w14:textId="38C85D19" w:rsidR="007343FB" w:rsidRDefault="007343FB" w:rsidP="002D54EF">
      <w:pPr>
        <w:pStyle w:val="ListParagraph"/>
        <w:numPr>
          <w:ilvl w:val="0"/>
          <w:numId w:val="3"/>
        </w:numPr>
        <w:spacing w:after="0"/>
      </w:pPr>
      <w:r>
        <w:t xml:space="preserve">The next step is to </w:t>
      </w:r>
      <w:r w:rsidR="00F248D2">
        <w:t xml:space="preserve">propose </w:t>
      </w:r>
      <w:r>
        <w:t>a methodology for forecasting the DLAP prices.</w:t>
      </w:r>
    </w:p>
    <w:p w14:paraId="5B6C97E9" w14:textId="095B2B4D" w:rsidR="00462CE7" w:rsidRPr="006B3453" w:rsidRDefault="00462CE7" w:rsidP="002D54EF">
      <w:pPr>
        <w:pStyle w:val="ListParagraph"/>
        <w:numPr>
          <w:ilvl w:val="0"/>
          <w:numId w:val="3"/>
        </w:numPr>
        <w:spacing w:after="0"/>
      </w:pPr>
      <w:r>
        <w:t>The IOUs are currently evaluating the suitability of existing public DLAP forecasts.</w:t>
      </w:r>
    </w:p>
    <w:sectPr w:rsidR="00462CE7" w:rsidRPr="006B34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4183E6" w14:textId="77777777" w:rsidR="000A25AB" w:rsidRDefault="000A25AB" w:rsidP="004B67CC">
      <w:pPr>
        <w:spacing w:after="0" w:line="240" w:lineRule="auto"/>
      </w:pPr>
      <w:r>
        <w:separator/>
      </w:r>
    </w:p>
  </w:endnote>
  <w:endnote w:type="continuationSeparator" w:id="0">
    <w:p w14:paraId="6BE7D387" w14:textId="77777777" w:rsidR="000A25AB" w:rsidRDefault="000A25AB" w:rsidP="004B6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F29F2F" w14:textId="77777777" w:rsidR="000A25AB" w:rsidRDefault="000A25AB" w:rsidP="004B67CC">
      <w:pPr>
        <w:spacing w:after="0" w:line="240" w:lineRule="auto"/>
      </w:pPr>
      <w:r>
        <w:separator/>
      </w:r>
    </w:p>
  </w:footnote>
  <w:footnote w:type="continuationSeparator" w:id="0">
    <w:p w14:paraId="34027F21" w14:textId="77777777" w:rsidR="000A25AB" w:rsidRDefault="000A25AB" w:rsidP="004B67CC">
      <w:pPr>
        <w:spacing w:after="0" w:line="240" w:lineRule="auto"/>
      </w:pPr>
      <w:r>
        <w:continuationSeparator/>
      </w:r>
    </w:p>
  </w:footnote>
  <w:footnote w:id="1">
    <w:p w14:paraId="174E237C" w14:textId="3A1327D7" w:rsidR="00233C9D" w:rsidRDefault="00233C9D">
      <w:pPr>
        <w:pStyle w:val="FootnoteText"/>
      </w:pPr>
      <w:r>
        <w:rPr>
          <w:rStyle w:val="FootnoteReference"/>
        </w:rPr>
        <w:footnoteRef/>
      </w:r>
      <w:r>
        <w:t xml:space="preserve"> “Locational Net Benefits Analysis Working Group – Long Term Refinement Topics Scoping Document,” More Than Smart, pg. 4.</w:t>
      </w:r>
    </w:p>
  </w:footnote>
  <w:footnote w:id="2">
    <w:p w14:paraId="3A00E4FA" w14:textId="7FDBC668" w:rsidR="00233C9D" w:rsidRDefault="00233C9D">
      <w:pPr>
        <w:pStyle w:val="FootnoteText"/>
      </w:pPr>
      <w:r>
        <w:rPr>
          <w:rStyle w:val="FootnoteReference"/>
        </w:rPr>
        <w:footnoteRef/>
      </w:r>
      <w:r>
        <w:t xml:space="preserve"> “Assigned Commissioner’s Ruling Setting Scope and Schedule for Continued Long Term Refinement Discussions Pertaining to the Integration Capacity Analysis and Locational Net Benefits Analysis in Track One of the Distribution Resources Plan Proceeding,” June 6, 2017, pg. 12.</w:t>
      </w:r>
    </w:p>
  </w:footnote>
  <w:footnote w:id="3">
    <w:p w14:paraId="26F9ABC6" w14:textId="5E88328B" w:rsidR="0097708F" w:rsidRDefault="0097708F">
      <w:pPr>
        <w:pStyle w:val="FootnoteText"/>
      </w:pPr>
      <w:r>
        <w:rPr>
          <w:rStyle w:val="FootnoteReference"/>
        </w:rPr>
        <w:footnoteRef/>
      </w:r>
      <w:r>
        <w:t xml:space="preserve"> </w:t>
      </w:r>
      <w:r w:rsidRPr="0097708F">
        <w:t>“Business Practice Manual for Definitions &amp; Acronyms,” CAISO, version 16, October 3, 2016, pg. 36.</w:t>
      </w:r>
    </w:p>
  </w:footnote>
  <w:footnote w:id="4">
    <w:p w14:paraId="61718059" w14:textId="5535BCAF" w:rsidR="00195A46" w:rsidRDefault="00195A46">
      <w:pPr>
        <w:pStyle w:val="FootnoteText"/>
      </w:pPr>
      <w:r>
        <w:rPr>
          <w:rStyle w:val="FootnoteReference"/>
        </w:rPr>
        <w:footnoteRef/>
      </w:r>
      <w:r>
        <w:t xml:space="preserve"> </w:t>
      </w:r>
      <w:r w:rsidRPr="00195A46">
        <w:t>“Load Granularity Refinements, Pricing Study Results and Implementation Costs and Benefits Discussion,” CAISO, January 14, 2015, pg. 11.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725266"/>
    <w:multiLevelType w:val="hybridMultilevel"/>
    <w:tmpl w:val="5C5EF63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F4C"/>
    <w:rsid w:val="0000368B"/>
    <w:rsid w:val="00062F4C"/>
    <w:rsid w:val="000A25AB"/>
    <w:rsid w:val="0010531B"/>
    <w:rsid w:val="00165AD7"/>
    <w:rsid w:val="00195A46"/>
    <w:rsid w:val="001B6998"/>
    <w:rsid w:val="001E1A65"/>
    <w:rsid w:val="00233C9D"/>
    <w:rsid w:val="002D54EF"/>
    <w:rsid w:val="0031068E"/>
    <w:rsid w:val="0037263B"/>
    <w:rsid w:val="003A2AFB"/>
    <w:rsid w:val="00462CE7"/>
    <w:rsid w:val="0046692D"/>
    <w:rsid w:val="004B67CC"/>
    <w:rsid w:val="00544CA4"/>
    <w:rsid w:val="0057298B"/>
    <w:rsid w:val="005770EA"/>
    <w:rsid w:val="005909F1"/>
    <w:rsid w:val="006B3453"/>
    <w:rsid w:val="007343FB"/>
    <w:rsid w:val="007E5DC8"/>
    <w:rsid w:val="0097708F"/>
    <w:rsid w:val="009D0F40"/>
    <w:rsid w:val="00B65B08"/>
    <w:rsid w:val="00C0489D"/>
    <w:rsid w:val="00C12A1C"/>
    <w:rsid w:val="00C14652"/>
    <w:rsid w:val="00CF09FA"/>
    <w:rsid w:val="00D35B62"/>
    <w:rsid w:val="00D46D88"/>
    <w:rsid w:val="00DA043F"/>
    <w:rsid w:val="00EB512F"/>
    <w:rsid w:val="00EE5975"/>
    <w:rsid w:val="00F01ECF"/>
    <w:rsid w:val="00F248D2"/>
    <w:rsid w:val="00FF4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docId w15:val="{AD0D3CD0-E84B-4686-A84C-7030D3C66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paragraph" w:styleId="FootnoteText">
    <w:name w:val="footnote text"/>
    <w:basedOn w:val="Normal"/>
    <w:link w:val="FootnoteTextChar"/>
    <w:uiPriority w:val="99"/>
    <w:semiHidden/>
    <w:unhideWhenUsed/>
    <w:rsid w:val="004B67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67CC"/>
    <w:rPr>
      <w:sz w:val="20"/>
      <w:szCs w:val="20"/>
    </w:rPr>
  </w:style>
  <w:style w:type="character" w:styleId="FootnoteReference">
    <w:name w:val="footnote reference"/>
    <w:basedOn w:val="DefaultParagraphFont"/>
    <w:uiPriority w:val="99"/>
    <w:semiHidden/>
    <w:unhideWhenUsed/>
    <w:rsid w:val="004B67CC"/>
    <w:rPr>
      <w:vertAlign w:val="superscript"/>
    </w:rPr>
  </w:style>
  <w:style w:type="paragraph" w:styleId="NormalWeb">
    <w:name w:val="Normal (Web)"/>
    <w:basedOn w:val="Normal"/>
    <w:uiPriority w:val="99"/>
    <w:semiHidden/>
    <w:unhideWhenUsed/>
    <w:rsid w:val="0097708F"/>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248D2"/>
    <w:rPr>
      <w:sz w:val="16"/>
      <w:szCs w:val="16"/>
    </w:rPr>
  </w:style>
  <w:style w:type="paragraph" w:styleId="CommentText">
    <w:name w:val="annotation text"/>
    <w:basedOn w:val="Normal"/>
    <w:link w:val="CommentTextChar"/>
    <w:uiPriority w:val="99"/>
    <w:semiHidden/>
    <w:unhideWhenUsed/>
    <w:rsid w:val="00F248D2"/>
    <w:pPr>
      <w:spacing w:line="240" w:lineRule="auto"/>
    </w:pPr>
    <w:rPr>
      <w:sz w:val="20"/>
      <w:szCs w:val="20"/>
    </w:rPr>
  </w:style>
  <w:style w:type="character" w:customStyle="1" w:styleId="CommentTextChar">
    <w:name w:val="Comment Text Char"/>
    <w:basedOn w:val="DefaultParagraphFont"/>
    <w:link w:val="CommentText"/>
    <w:uiPriority w:val="99"/>
    <w:semiHidden/>
    <w:rsid w:val="00F248D2"/>
    <w:rPr>
      <w:sz w:val="20"/>
      <w:szCs w:val="20"/>
    </w:rPr>
  </w:style>
  <w:style w:type="paragraph" w:styleId="CommentSubject">
    <w:name w:val="annotation subject"/>
    <w:basedOn w:val="CommentText"/>
    <w:next w:val="CommentText"/>
    <w:link w:val="CommentSubjectChar"/>
    <w:uiPriority w:val="99"/>
    <w:semiHidden/>
    <w:unhideWhenUsed/>
    <w:rsid w:val="00F248D2"/>
    <w:rPr>
      <w:b/>
      <w:bCs/>
    </w:rPr>
  </w:style>
  <w:style w:type="character" w:customStyle="1" w:styleId="CommentSubjectChar">
    <w:name w:val="Comment Subject Char"/>
    <w:basedOn w:val="CommentTextChar"/>
    <w:link w:val="CommentSubject"/>
    <w:uiPriority w:val="99"/>
    <w:semiHidden/>
    <w:rsid w:val="00F248D2"/>
    <w:rPr>
      <w:b/>
      <w:bCs/>
      <w:sz w:val="20"/>
      <w:szCs w:val="20"/>
    </w:rPr>
  </w:style>
  <w:style w:type="paragraph" w:styleId="BalloonText">
    <w:name w:val="Balloon Text"/>
    <w:basedOn w:val="Normal"/>
    <w:link w:val="BalloonTextChar"/>
    <w:uiPriority w:val="99"/>
    <w:semiHidden/>
    <w:unhideWhenUsed/>
    <w:rsid w:val="00F24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48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802660">
      <w:bodyDiv w:val="1"/>
      <w:marLeft w:val="0"/>
      <w:marRight w:val="0"/>
      <w:marTop w:val="0"/>
      <w:marBottom w:val="0"/>
      <w:divBdr>
        <w:top w:val="none" w:sz="0" w:space="0" w:color="auto"/>
        <w:left w:val="none" w:sz="0" w:space="0" w:color="auto"/>
        <w:bottom w:val="none" w:sz="0" w:space="0" w:color="auto"/>
        <w:right w:val="none" w:sz="0" w:space="0" w:color="auto"/>
      </w:divBdr>
    </w:div>
    <w:div w:id="113687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94261-D24C-45A6-AA4B-49C129A63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2</Pages>
  <Words>459</Words>
  <Characters>2618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Castle</dc:creator>
  <cp:keywords/>
  <dc:description/>
  <cp:lastModifiedBy>David Castle</cp:lastModifiedBy>
  <cp:revision>18</cp:revision>
  <dcterms:created xsi:type="dcterms:W3CDTF">2017-07-20T01:13:00Z</dcterms:created>
  <dcterms:modified xsi:type="dcterms:W3CDTF">2017-07-25T15:38:00Z</dcterms:modified>
</cp:coreProperties>
</file>