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5D6F3" w14:textId="1AC0B7E7" w:rsidR="00062F4C" w:rsidRPr="00E66BCF" w:rsidRDefault="00062F4C" w:rsidP="00D04B9A">
      <w:pPr>
        <w:pStyle w:val="Title"/>
        <w:rPr>
          <w:sz w:val="48"/>
        </w:rPr>
      </w:pPr>
      <w:r w:rsidRPr="00E66BCF">
        <w:rPr>
          <w:sz w:val="48"/>
        </w:rPr>
        <w:t xml:space="preserve">Topic </w:t>
      </w:r>
      <w:r w:rsidR="00E00E30" w:rsidRPr="00E66BCF">
        <w:rPr>
          <w:sz w:val="48"/>
        </w:rPr>
        <w:t>4</w:t>
      </w:r>
      <w:r w:rsidR="007457A7">
        <w:rPr>
          <w:sz w:val="48"/>
        </w:rPr>
        <w:t>ii</w:t>
      </w:r>
      <w:r w:rsidR="00E00E30" w:rsidRPr="00E66BCF">
        <w:rPr>
          <w:sz w:val="48"/>
        </w:rPr>
        <w:t>-Capacity</w:t>
      </w:r>
      <w:r w:rsidRPr="00E66BCF">
        <w:rPr>
          <w:sz w:val="48"/>
        </w:rPr>
        <w:t xml:space="preserve">: </w:t>
      </w:r>
      <w:r w:rsidR="00E00E30" w:rsidRPr="00E66BCF">
        <w:rPr>
          <w:sz w:val="48"/>
        </w:rPr>
        <w:t>Incorporate additional locational granularity into Capacity avoided cost values</w:t>
      </w:r>
    </w:p>
    <w:p w14:paraId="7D43CA11" w14:textId="5358D450" w:rsidR="00062F4C" w:rsidRPr="00B866DB" w:rsidRDefault="009C1127" w:rsidP="00D04B9A">
      <w:pPr>
        <w:pStyle w:val="Subtitle"/>
        <w:spacing w:after="0"/>
      </w:pPr>
      <w:r>
        <w:t xml:space="preserve">SEIA </w:t>
      </w:r>
      <w:r w:rsidR="00062F4C" w:rsidRPr="00B866DB">
        <w:t xml:space="preserve">Proposal </w:t>
      </w:r>
    </w:p>
    <w:p w14:paraId="4F879491" w14:textId="77777777" w:rsidR="00D04B9A" w:rsidRPr="00B866DB" w:rsidRDefault="00D04B9A" w:rsidP="00D04B9A">
      <w:pPr>
        <w:pStyle w:val="Subtitle"/>
        <w:spacing w:after="0"/>
      </w:pPr>
      <w:r w:rsidRPr="00B866DB">
        <w:t>LNBA Working Group</w:t>
      </w:r>
    </w:p>
    <w:p w14:paraId="0E916A7B" w14:textId="77777777" w:rsidR="00D04B9A" w:rsidRPr="00B866DB" w:rsidRDefault="00D04B9A" w:rsidP="00D04B9A">
      <w:pPr>
        <w:spacing w:after="0"/>
      </w:pPr>
    </w:p>
    <w:p w14:paraId="5A6EF65C" w14:textId="77777777" w:rsidR="00062F4C" w:rsidRPr="00B866DB" w:rsidRDefault="00062F4C" w:rsidP="00D04B9A">
      <w:pPr>
        <w:spacing w:after="0"/>
      </w:pPr>
    </w:p>
    <w:p w14:paraId="6DEE1E41" w14:textId="54D6780E" w:rsidR="00062F4C" w:rsidRPr="00E66BCF" w:rsidRDefault="00062F4C" w:rsidP="00D04B9A">
      <w:pPr>
        <w:pStyle w:val="Heading1"/>
        <w:spacing w:before="0"/>
      </w:pPr>
      <w:r w:rsidRPr="00E66BCF">
        <w:t xml:space="preserve">Summary of </w:t>
      </w:r>
      <w:r w:rsidR="0026768F" w:rsidRPr="00E66BCF">
        <w:t>Proposal</w:t>
      </w:r>
    </w:p>
    <w:p w14:paraId="57929C9B" w14:textId="200E9B68" w:rsidR="00EC57A5" w:rsidRPr="00B866DB" w:rsidRDefault="009C1127" w:rsidP="009C1127">
      <w:pPr>
        <w:spacing w:after="0"/>
      </w:pPr>
      <w:r>
        <w:t xml:space="preserve">SEIA </w:t>
      </w:r>
      <w:r w:rsidR="00E00E30" w:rsidRPr="00B866DB">
        <w:t>propose</w:t>
      </w:r>
      <w:r>
        <w:t>s</w:t>
      </w:r>
      <w:r w:rsidR="00E00E30" w:rsidRPr="00B866DB">
        <w:t xml:space="preserve"> to develop locational generation capacity avoided cost values </w:t>
      </w:r>
      <w:r>
        <w:t xml:space="preserve">based on the loss-adjusted Cost of New Entry (CONE) in each IOU service territory.   </w:t>
      </w:r>
      <w:r w:rsidR="00E00E30" w:rsidRPr="00B866DB">
        <w:t>Th</w:t>
      </w:r>
      <w:r>
        <w:t>is would be consistent with D. 16-06-007 which established the C</w:t>
      </w:r>
      <w:r w:rsidR="006C4E1F">
        <w:t>O</w:t>
      </w:r>
      <w:r>
        <w:t xml:space="preserve">NE as the avoided generation capacity cost for DERs, without the use of </w:t>
      </w:r>
      <w:r w:rsidR="00FC2340">
        <w:t>a</w:t>
      </w:r>
      <w:r>
        <w:t xml:space="preserve"> Resource Balance Year</w:t>
      </w:r>
      <w:r w:rsidR="00FC2340">
        <w:t xml:space="preserve"> (RBY)</w:t>
      </w:r>
      <w:r>
        <w:t xml:space="preserve"> to transition from short-run to long-run avoided capacity costs</w:t>
      </w:r>
      <w:r w:rsidR="007457A7">
        <w:t xml:space="preserve"> that accurately value distributed energy resources</w:t>
      </w:r>
      <w:r>
        <w:t>.</w:t>
      </w:r>
      <w:r w:rsidRPr="00B866DB" w:rsidDel="009C1127">
        <w:t xml:space="preserve"> </w:t>
      </w:r>
    </w:p>
    <w:p w14:paraId="5BE411FA" w14:textId="77777777" w:rsidR="00EC57A5" w:rsidRPr="00B866DB" w:rsidRDefault="00EC57A5" w:rsidP="00EC57A5">
      <w:pPr>
        <w:spacing w:after="0"/>
      </w:pPr>
    </w:p>
    <w:p w14:paraId="5111153D" w14:textId="77777777" w:rsidR="00062F4C" w:rsidRPr="00E66BCF" w:rsidRDefault="00062F4C" w:rsidP="00D04B9A">
      <w:pPr>
        <w:pStyle w:val="Heading1"/>
        <w:spacing w:before="0"/>
      </w:pPr>
      <w:r w:rsidRPr="00E66BCF">
        <w:t>Introduction and Background</w:t>
      </w:r>
    </w:p>
    <w:p w14:paraId="6C668434" w14:textId="7E2349F0" w:rsidR="000078BC" w:rsidRPr="00B866DB" w:rsidRDefault="000078BC" w:rsidP="007118F2">
      <w:pPr>
        <w:pStyle w:val="ListParagraph"/>
        <w:numPr>
          <w:ilvl w:val="0"/>
          <w:numId w:val="6"/>
        </w:numPr>
        <w:spacing w:after="0"/>
        <w:rPr>
          <w:b/>
        </w:rPr>
      </w:pPr>
      <w:r w:rsidRPr="00B866DB">
        <w:rPr>
          <w:b/>
        </w:rPr>
        <w:t>Available Data on Locational Variation in Generation Capacity Value: The CPUC RA Report</w:t>
      </w:r>
    </w:p>
    <w:p w14:paraId="33EA9D60" w14:textId="744380EA" w:rsidR="000078BC" w:rsidRPr="00B866DB" w:rsidRDefault="000078BC" w:rsidP="007118F2">
      <w:pPr>
        <w:pStyle w:val="ListParagraph"/>
        <w:numPr>
          <w:ilvl w:val="1"/>
          <w:numId w:val="6"/>
        </w:numPr>
        <w:spacing w:after="0"/>
      </w:pPr>
      <w:r w:rsidRPr="00B866DB">
        <w:t xml:space="preserve">The annual CPUC Resource Adequacy (RA) Report is the only public source of </w:t>
      </w:r>
      <w:r w:rsidR="009C1127">
        <w:t xml:space="preserve">short-run </w:t>
      </w:r>
      <w:r w:rsidRPr="00B866DB">
        <w:t xml:space="preserve">generation capacity price information in California. It provides aggregated RA contract price information at both the system-level and the Local </w:t>
      </w:r>
      <w:r w:rsidR="00620B2E" w:rsidRPr="00B866DB">
        <w:t xml:space="preserve">RA area.  </w:t>
      </w:r>
    </w:p>
    <w:p w14:paraId="4AA447A9" w14:textId="0F8B0644" w:rsidR="000078BC" w:rsidRPr="00B866DB" w:rsidRDefault="000078BC" w:rsidP="007118F2">
      <w:pPr>
        <w:pStyle w:val="ListParagraph"/>
        <w:numPr>
          <w:ilvl w:val="1"/>
          <w:numId w:val="6"/>
        </w:numPr>
        <w:spacing w:after="0"/>
      </w:pPr>
      <w:r w:rsidRPr="00B866DB">
        <w:t>Since RA is not transacted in a central</w:t>
      </w:r>
      <w:r w:rsidR="00AF2E1D">
        <w:t>ized capacity</w:t>
      </w:r>
      <w:r w:rsidRPr="00B866DB">
        <w:t xml:space="preserve"> market, this is the only public source of information with RA price information for </w:t>
      </w:r>
      <w:r w:rsidR="00AF2E1D">
        <w:t xml:space="preserve">system-level and </w:t>
      </w:r>
      <w:r w:rsidRPr="00B866DB">
        <w:t>Local RA.</w:t>
      </w:r>
    </w:p>
    <w:p w14:paraId="1B5E0BCB" w14:textId="5C8EA7F6" w:rsidR="000078BC" w:rsidRPr="00B866DB" w:rsidRDefault="000078BC" w:rsidP="007118F2">
      <w:pPr>
        <w:pStyle w:val="ListParagraph"/>
        <w:numPr>
          <w:ilvl w:val="1"/>
          <w:numId w:val="6"/>
        </w:numPr>
        <w:spacing w:after="0"/>
      </w:pPr>
      <w:r w:rsidRPr="00B866DB">
        <w:t xml:space="preserve">Although this is the best available information, this report is based on voluntary responses to a </w:t>
      </w:r>
      <w:r w:rsidR="00AF2E1D">
        <w:t xml:space="preserve">CPUC </w:t>
      </w:r>
      <w:r w:rsidRPr="00B866DB">
        <w:t>data request and does not necessarily capture the entirety of RA contracts</w:t>
      </w:r>
      <w:r w:rsidR="00AF2E1D">
        <w:t xml:space="preserve"> and transactions</w:t>
      </w:r>
      <w:r w:rsidRPr="00B866DB">
        <w:t>.</w:t>
      </w:r>
    </w:p>
    <w:p w14:paraId="01F725B8" w14:textId="77777777" w:rsidR="000078BC" w:rsidRPr="00B866DB" w:rsidRDefault="000078BC" w:rsidP="007118F2">
      <w:pPr>
        <w:pStyle w:val="ListParagraph"/>
        <w:numPr>
          <w:ilvl w:val="1"/>
          <w:numId w:val="6"/>
        </w:numPr>
        <w:spacing w:after="0"/>
      </w:pPr>
      <w:r w:rsidRPr="00B866DB">
        <w:t xml:space="preserve">The CPUC’s latest RA report is available here: </w:t>
      </w:r>
      <w:hyperlink r:id="rId8" w:history="1">
        <w:r w:rsidRPr="00B866DB">
          <w:rPr>
            <w:rStyle w:val="Hyperlink"/>
          </w:rPr>
          <w:t>http://www.cpuc.ca.gov/WorkArea/DownloadAsset.aspx?id=6442453942</w:t>
        </w:r>
      </w:hyperlink>
    </w:p>
    <w:p w14:paraId="52FEB3DB" w14:textId="3AAFC224" w:rsidR="002C43D8" w:rsidRPr="00B866DB" w:rsidRDefault="00314E76" w:rsidP="007118F2">
      <w:pPr>
        <w:pStyle w:val="ListParagraph"/>
        <w:numPr>
          <w:ilvl w:val="0"/>
          <w:numId w:val="6"/>
        </w:numPr>
        <w:spacing w:after="0"/>
        <w:rPr>
          <w:b/>
        </w:rPr>
      </w:pPr>
      <w:r w:rsidRPr="00B866DB">
        <w:rPr>
          <w:b/>
        </w:rPr>
        <w:t>Resource Adequacy (RA)</w:t>
      </w:r>
      <w:r w:rsidR="0026768F" w:rsidRPr="00B866DB">
        <w:rPr>
          <w:b/>
        </w:rPr>
        <w:t xml:space="preserve"> and </w:t>
      </w:r>
      <w:r w:rsidR="00B11494" w:rsidRPr="00B866DB">
        <w:rPr>
          <w:b/>
        </w:rPr>
        <w:t>S</w:t>
      </w:r>
      <w:r w:rsidR="0026768F" w:rsidRPr="00B866DB">
        <w:rPr>
          <w:b/>
        </w:rPr>
        <w:t>hort-</w:t>
      </w:r>
      <w:r w:rsidR="0036691A">
        <w:rPr>
          <w:b/>
        </w:rPr>
        <w:t>Run</w:t>
      </w:r>
      <w:r w:rsidR="0036691A" w:rsidRPr="00B866DB">
        <w:rPr>
          <w:b/>
        </w:rPr>
        <w:t xml:space="preserve"> </w:t>
      </w:r>
      <w:r w:rsidR="00B11494" w:rsidRPr="00B866DB">
        <w:rPr>
          <w:b/>
        </w:rPr>
        <w:t>G</w:t>
      </w:r>
      <w:r w:rsidR="0026768F" w:rsidRPr="00B866DB">
        <w:rPr>
          <w:b/>
        </w:rPr>
        <w:t xml:space="preserve">eneration </w:t>
      </w:r>
      <w:r w:rsidR="00B11494" w:rsidRPr="00B866DB">
        <w:rPr>
          <w:b/>
        </w:rPr>
        <w:t>C</w:t>
      </w:r>
      <w:r w:rsidR="0026768F" w:rsidRPr="00B866DB">
        <w:rPr>
          <w:b/>
        </w:rPr>
        <w:t xml:space="preserve">apacity </w:t>
      </w:r>
      <w:r w:rsidR="00B11494" w:rsidRPr="00B866DB">
        <w:rPr>
          <w:b/>
        </w:rPr>
        <w:t>Value</w:t>
      </w:r>
    </w:p>
    <w:p w14:paraId="5CF8C945" w14:textId="7723D42F" w:rsidR="001E426F" w:rsidRPr="00B866DB" w:rsidRDefault="00AF2E1D" w:rsidP="007118F2">
      <w:pPr>
        <w:pStyle w:val="ListParagraph"/>
        <w:numPr>
          <w:ilvl w:val="1"/>
          <w:numId w:val="6"/>
        </w:numPr>
        <w:spacing w:after="0"/>
      </w:pPr>
      <w:r>
        <w:t>Load Serving Entities (</w:t>
      </w:r>
      <w:r w:rsidR="001E426F" w:rsidRPr="00B866DB">
        <w:t>LSEs</w:t>
      </w:r>
      <w:r>
        <w:t>)</w:t>
      </w:r>
      <w:r w:rsidR="001E426F" w:rsidRPr="00B866DB">
        <w:t xml:space="preserve"> subject to CPUC jurisdiction must participate in the Resource Adequacy (RA) program.</w:t>
      </w:r>
    </w:p>
    <w:p w14:paraId="64BF35AD" w14:textId="5BC366E2" w:rsidR="00074EA1" w:rsidRPr="00B866DB" w:rsidRDefault="00074EA1" w:rsidP="007118F2">
      <w:pPr>
        <w:pStyle w:val="ListParagraph"/>
        <w:numPr>
          <w:ilvl w:val="1"/>
          <w:numId w:val="6"/>
        </w:numPr>
        <w:spacing w:after="0"/>
      </w:pPr>
      <w:r w:rsidRPr="00B866DB">
        <w:t xml:space="preserve">RA refers to the program as well as the “capacity product” that LSEs must </w:t>
      </w:r>
      <w:r w:rsidR="00AF2E1D">
        <w:t xml:space="preserve">use to meet their System RA, Local RA and Flexible RA requirements. The capacity product can come from an LSE’s generation portfolio and/or through contracts with </w:t>
      </w:r>
      <w:r w:rsidRPr="00B866DB">
        <w:t>generators</w:t>
      </w:r>
      <w:r w:rsidR="003A0E16" w:rsidRPr="00B866DB">
        <w:t xml:space="preserve"> </w:t>
      </w:r>
      <w:r w:rsidR="00AF2E1D">
        <w:t>to procure</w:t>
      </w:r>
      <w:r w:rsidR="003A0E16" w:rsidRPr="00B866DB">
        <w:t xml:space="preserve"> the RA-qualifying MW attributes of </w:t>
      </w:r>
      <w:r w:rsidR="00AF2E1D">
        <w:t>the</w:t>
      </w:r>
      <w:r w:rsidR="00AF2E1D" w:rsidRPr="00B866DB">
        <w:t xml:space="preserve"> </w:t>
      </w:r>
      <w:r w:rsidR="003A0E16" w:rsidRPr="00B866DB">
        <w:t>generator</w:t>
      </w:r>
      <w:r w:rsidRPr="00B866DB">
        <w:t>.</w:t>
      </w:r>
    </w:p>
    <w:p w14:paraId="08431AC4" w14:textId="571471CB" w:rsidR="00074EA1" w:rsidRPr="00B866DB" w:rsidRDefault="00B54961" w:rsidP="007118F2">
      <w:pPr>
        <w:pStyle w:val="ListParagraph"/>
        <w:numPr>
          <w:ilvl w:val="1"/>
          <w:numId w:val="6"/>
        </w:numPr>
        <w:spacing w:after="0"/>
      </w:pPr>
      <w:r w:rsidRPr="00B866DB">
        <w:t>Here we focus on System and Local RA</w:t>
      </w:r>
      <w:r w:rsidR="003D41DC" w:rsidRPr="00B866DB">
        <w:t>, since Flexible RA does not vary within the CAISO.</w:t>
      </w:r>
    </w:p>
    <w:p w14:paraId="73CAE4A1" w14:textId="3313F938" w:rsidR="00074EA1" w:rsidRPr="00B866DB" w:rsidRDefault="00074EA1" w:rsidP="007118F2">
      <w:pPr>
        <w:pStyle w:val="ListParagraph"/>
        <w:numPr>
          <w:ilvl w:val="1"/>
          <w:numId w:val="6"/>
        </w:numPr>
        <w:spacing w:after="0"/>
      </w:pPr>
      <w:r w:rsidRPr="00B866DB">
        <w:t>In general, CAISO determines the RA requirements for reliable operation of the grid, and CPUC allocates those requirements to its jurisdictional LSEs.</w:t>
      </w:r>
      <w:r w:rsidR="00AF2E1D">
        <w:t xml:space="preserve"> This requirement includes a 15% planning reserve margin.</w:t>
      </w:r>
    </w:p>
    <w:p w14:paraId="0C3081AB" w14:textId="465E62EB" w:rsidR="00074EA1" w:rsidRPr="00B866DB" w:rsidRDefault="00074EA1" w:rsidP="007118F2">
      <w:pPr>
        <w:pStyle w:val="ListParagraph"/>
        <w:numPr>
          <w:ilvl w:val="1"/>
          <w:numId w:val="6"/>
        </w:numPr>
        <w:spacing w:after="0"/>
      </w:pPr>
      <w:r w:rsidRPr="00B866DB">
        <w:t>Local RA is essentially no different from System RA, except that it is located in specific areas</w:t>
      </w:r>
      <w:r w:rsidR="00AF2E1D">
        <w:t xml:space="preserve"> (</w:t>
      </w:r>
      <w:r w:rsidR="00E66BCF">
        <w:t xml:space="preserve">i.e. </w:t>
      </w:r>
      <w:r w:rsidR="00AF2E1D">
        <w:t>load pockets)</w:t>
      </w:r>
      <w:r w:rsidRPr="00B866DB">
        <w:t xml:space="preserve"> that have limited access to the transmission system.</w:t>
      </w:r>
    </w:p>
    <w:p w14:paraId="1166765F" w14:textId="644CF4D6" w:rsidR="00074EA1" w:rsidRPr="00B866DB" w:rsidRDefault="00074EA1" w:rsidP="007118F2">
      <w:pPr>
        <w:pStyle w:val="ListParagraph"/>
        <w:numPr>
          <w:ilvl w:val="2"/>
          <w:numId w:val="6"/>
        </w:numPr>
        <w:spacing w:after="0"/>
      </w:pPr>
      <w:r w:rsidRPr="00B866DB">
        <w:lastRenderedPageBreak/>
        <w:t xml:space="preserve">Local RA is the only </w:t>
      </w:r>
      <w:r w:rsidR="006260A6" w:rsidRPr="00B866DB">
        <w:t xml:space="preserve">RA </w:t>
      </w:r>
      <w:r w:rsidRPr="00B866DB">
        <w:t xml:space="preserve">product that is “locational” – i.e. </w:t>
      </w:r>
      <w:r w:rsidR="00E66BCF">
        <w:t xml:space="preserve">both </w:t>
      </w:r>
      <w:r w:rsidRPr="00B866DB">
        <w:t>the requirements</w:t>
      </w:r>
      <w:r w:rsidR="00317312">
        <w:t>, which are based on the August peak load</w:t>
      </w:r>
      <w:r w:rsidR="00E66BCF">
        <w:t xml:space="preserve"> in the LCR area</w:t>
      </w:r>
      <w:r w:rsidR="00317312">
        <w:t>,</w:t>
      </w:r>
      <w:r w:rsidRPr="00B866DB">
        <w:t xml:space="preserve"> </w:t>
      </w:r>
      <w:r w:rsidR="00B54961" w:rsidRPr="00B866DB">
        <w:t xml:space="preserve">and </w:t>
      </w:r>
      <w:r w:rsidR="00317312">
        <w:t xml:space="preserve">the </w:t>
      </w:r>
      <w:r w:rsidR="00B54961" w:rsidRPr="00B866DB">
        <w:t xml:space="preserve">product </w:t>
      </w:r>
      <w:r w:rsidRPr="00B866DB">
        <w:t>are specific to a location on the system</w:t>
      </w:r>
      <w:r w:rsidR="00317312">
        <w:t>.</w:t>
      </w:r>
    </w:p>
    <w:p w14:paraId="6747964A" w14:textId="31459409" w:rsidR="00074EA1" w:rsidRPr="00B866DB" w:rsidRDefault="00B11494" w:rsidP="007118F2">
      <w:pPr>
        <w:pStyle w:val="ListParagraph"/>
        <w:numPr>
          <w:ilvl w:val="1"/>
          <w:numId w:val="6"/>
        </w:numPr>
        <w:spacing w:after="0"/>
      </w:pPr>
      <w:r w:rsidRPr="00B866DB">
        <w:t>On a monthly basis</w:t>
      </w:r>
      <w:r w:rsidR="00074EA1" w:rsidRPr="00B866DB">
        <w:t xml:space="preserve">, </w:t>
      </w:r>
      <w:r w:rsidR="006260A6" w:rsidRPr="00B866DB">
        <w:t xml:space="preserve">each </w:t>
      </w:r>
      <w:r w:rsidR="00074EA1" w:rsidRPr="00B866DB">
        <w:t xml:space="preserve">LSE must demonstrate to CPUC that they </w:t>
      </w:r>
      <w:r w:rsidR="006260A6" w:rsidRPr="00B866DB">
        <w:t xml:space="preserve">have in their resource portfolio, either through ownership or contract, </w:t>
      </w:r>
      <w:r w:rsidR="00074EA1" w:rsidRPr="00B866DB">
        <w:t>sufficient RA resources (i.e.</w:t>
      </w:r>
      <w:r w:rsidR="006260A6" w:rsidRPr="00B866DB">
        <w:t xml:space="preserve"> operational</w:t>
      </w:r>
      <w:r w:rsidR="00074EA1" w:rsidRPr="00B866DB">
        <w:t xml:space="preserve"> </w:t>
      </w:r>
      <w:r w:rsidR="006260A6" w:rsidRPr="00B866DB">
        <w:t>generating capacity</w:t>
      </w:r>
      <w:r w:rsidR="00074EA1" w:rsidRPr="00B866DB">
        <w:t xml:space="preserve">) to meet </w:t>
      </w:r>
      <w:r w:rsidR="006260A6" w:rsidRPr="00B866DB">
        <w:t>their RA</w:t>
      </w:r>
      <w:r w:rsidR="00074EA1" w:rsidRPr="00B866DB">
        <w:t xml:space="preserve"> requirement.</w:t>
      </w:r>
    </w:p>
    <w:p w14:paraId="074A35C9" w14:textId="17E8D5F2" w:rsidR="002C43D8" w:rsidRPr="00B866DB" w:rsidRDefault="002C43D8" w:rsidP="007118F2">
      <w:pPr>
        <w:pStyle w:val="ListParagraph"/>
        <w:numPr>
          <w:ilvl w:val="1"/>
          <w:numId w:val="6"/>
        </w:numPr>
        <w:spacing w:after="0"/>
      </w:pPr>
      <w:r w:rsidRPr="00B866DB">
        <w:t>When DERs qualify as an RA resource, they can be compensated through a contract with an LSE for their RA</w:t>
      </w:r>
      <w:r w:rsidR="00EC57A5" w:rsidRPr="00B866DB">
        <w:t xml:space="preserve"> attribute</w:t>
      </w:r>
      <w:r w:rsidR="006260A6" w:rsidRPr="00B866DB">
        <w:t>.</w:t>
      </w:r>
    </w:p>
    <w:p w14:paraId="11587DE8" w14:textId="47033D32" w:rsidR="002C43D8" w:rsidRPr="00B866DB" w:rsidRDefault="002C43D8" w:rsidP="007118F2">
      <w:pPr>
        <w:pStyle w:val="ListParagraph"/>
        <w:numPr>
          <w:ilvl w:val="1"/>
          <w:numId w:val="6"/>
        </w:numPr>
        <w:spacing w:after="0"/>
      </w:pPr>
      <w:r w:rsidRPr="00B866DB">
        <w:t xml:space="preserve">When DERs don’t qualify as RA but have an impact on the LSE’s RA requirement, those DERs can avoid or increase the LSE’s </w:t>
      </w:r>
      <w:r w:rsidR="00461048" w:rsidRPr="00B866DB">
        <w:t xml:space="preserve">RA compliance </w:t>
      </w:r>
      <w:r w:rsidRPr="00B866DB">
        <w:t>costs.</w:t>
      </w:r>
    </w:p>
    <w:p w14:paraId="20701ACF" w14:textId="418DF45D" w:rsidR="002C43D8" w:rsidRPr="00B866DB" w:rsidRDefault="007118F2" w:rsidP="007118F2">
      <w:pPr>
        <w:pStyle w:val="ListParagraph"/>
        <w:numPr>
          <w:ilvl w:val="2"/>
          <w:numId w:val="6"/>
        </w:numPr>
        <w:spacing w:after="0"/>
      </w:pPr>
      <w:r w:rsidRPr="00B866DB">
        <w:t xml:space="preserve">For example, </w:t>
      </w:r>
      <w:r w:rsidR="002C43D8" w:rsidRPr="00B866DB">
        <w:t xml:space="preserve">if EE reduces the LSE’s peak load by 5 MW, then one can calculate the associated RA procurement </w:t>
      </w:r>
      <w:r w:rsidR="000078BC" w:rsidRPr="00B866DB">
        <w:t>cost reduction.</w:t>
      </w:r>
    </w:p>
    <w:p w14:paraId="1F6106CB" w14:textId="65B738B6" w:rsidR="002C43D8" w:rsidRPr="00B866DB" w:rsidRDefault="007118F2" w:rsidP="007118F2">
      <w:pPr>
        <w:pStyle w:val="ListParagraph"/>
        <w:numPr>
          <w:ilvl w:val="2"/>
          <w:numId w:val="6"/>
        </w:numPr>
        <w:spacing w:after="0"/>
      </w:pPr>
      <w:r w:rsidRPr="00B866DB">
        <w:t>Conversely,</w:t>
      </w:r>
      <w:r w:rsidR="002C43D8" w:rsidRPr="00B866DB">
        <w:t xml:space="preserve"> if EVs increase the LSE’s peak load by 5 MW, one can calculate the associated RA procurement cost increase.</w:t>
      </w:r>
    </w:p>
    <w:p w14:paraId="5A006307" w14:textId="345F22D9" w:rsidR="002C43D8" w:rsidRPr="00B866DB" w:rsidRDefault="002C43D8" w:rsidP="007118F2">
      <w:pPr>
        <w:pStyle w:val="ListParagraph"/>
        <w:numPr>
          <w:ilvl w:val="0"/>
          <w:numId w:val="6"/>
        </w:numPr>
        <w:spacing w:after="0"/>
        <w:rPr>
          <w:b/>
        </w:rPr>
      </w:pPr>
      <w:r w:rsidRPr="00B866DB">
        <w:rPr>
          <w:b/>
        </w:rPr>
        <w:t>Long-</w:t>
      </w:r>
      <w:r w:rsidR="0036691A">
        <w:rPr>
          <w:b/>
        </w:rPr>
        <w:t>Run</w:t>
      </w:r>
      <w:r w:rsidR="0036691A" w:rsidRPr="00B866DB">
        <w:rPr>
          <w:b/>
        </w:rPr>
        <w:t xml:space="preserve"> </w:t>
      </w:r>
      <w:r w:rsidR="007118F2" w:rsidRPr="00B866DB">
        <w:rPr>
          <w:b/>
        </w:rPr>
        <w:t>G</w:t>
      </w:r>
      <w:r w:rsidR="00B46EE7" w:rsidRPr="00B866DB">
        <w:rPr>
          <w:b/>
        </w:rPr>
        <w:t xml:space="preserve">eneration </w:t>
      </w:r>
      <w:r w:rsidR="007118F2" w:rsidRPr="00B866DB">
        <w:rPr>
          <w:b/>
        </w:rPr>
        <w:t>C</w:t>
      </w:r>
      <w:r w:rsidR="00B46EE7" w:rsidRPr="00B866DB">
        <w:rPr>
          <w:b/>
        </w:rPr>
        <w:t xml:space="preserve">apacity </w:t>
      </w:r>
      <w:r w:rsidR="007118F2" w:rsidRPr="00B866DB">
        <w:rPr>
          <w:b/>
        </w:rPr>
        <w:t>A</w:t>
      </w:r>
      <w:r w:rsidR="00B46EE7" w:rsidRPr="00B866DB">
        <w:rPr>
          <w:b/>
        </w:rPr>
        <w:t xml:space="preserve">voided </w:t>
      </w:r>
      <w:r w:rsidR="007118F2" w:rsidRPr="00B866DB">
        <w:rPr>
          <w:b/>
        </w:rPr>
        <w:t>C</w:t>
      </w:r>
      <w:r w:rsidR="00B46EE7" w:rsidRPr="00B866DB">
        <w:rPr>
          <w:b/>
        </w:rPr>
        <w:t>ost</w:t>
      </w:r>
      <w:r w:rsidRPr="00B866DB">
        <w:rPr>
          <w:b/>
        </w:rPr>
        <w:t xml:space="preserve"> and </w:t>
      </w:r>
      <w:r w:rsidR="000078BC" w:rsidRPr="00B866DB">
        <w:rPr>
          <w:b/>
        </w:rPr>
        <w:t>N</w:t>
      </w:r>
      <w:r w:rsidR="00D636D8" w:rsidRPr="00B866DB">
        <w:rPr>
          <w:b/>
        </w:rPr>
        <w:t>et Cost of New Entry (</w:t>
      </w:r>
      <w:r w:rsidRPr="00B866DB">
        <w:rPr>
          <w:b/>
        </w:rPr>
        <w:t>CONE</w:t>
      </w:r>
      <w:r w:rsidR="00D636D8" w:rsidRPr="00B866DB">
        <w:rPr>
          <w:b/>
        </w:rPr>
        <w:t>)</w:t>
      </w:r>
    </w:p>
    <w:p w14:paraId="5BE3F44F" w14:textId="0E911DEF" w:rsidR="002C43D8" w:rsidRPr="00B866DB" w:rsidRDefault="002C43D8" w:rsidP="007118F2">
      <w:pPr>
        <w:pStyle w:val="ListParagraph"/>
        <w:numPr>
          <w:ilvl w:val="1"/>
          <w:numId w:val="6"/>
        </w:numPr>
        <w:spacing w:after="0"/>
      </w:pPr>
      <w:r w:rsidRPr="00B866DB">
        <w:t>In general, the near-term RA prices are low</w:t>
      </w:r>
      <w:r w:rsidR="0036691A">
        <w:t xml:space="preserve"> relative to the cost of new generation</w:t>
      </w:r>
      <w:r w:rsidRPr="00B866DB">
        <w:t>, because there is an excess of generators available to provide additional RA if needed.</w:t>
      </w:r>
    </w:p>
    <w:p w14:paraId="2ABBDA1B" w14:textId="6231A360" w:rsidR="002C43D8" w:rsidRPr="00662777" w:rsidRDefault="002C43D8" w:rsidP="007118F2">
      <w:pPr>
        <w:pStyle w:val="ListParagraph"/>
        <w:numPr>
          <w:ilvl w:val="1"/>
          <w:numId w:val="6"/>
        </w:numPr>
        <w:spacing w:after="0"/>
      </w:pPr>
      <w:r w:rsidRPr="00662777">
        <w:t xml:space="preserve">In the long-run, however, generators </w:t>
      </w:r>
      <w:r w:rsidR="00094281" w:rsidRPr="00662777">
        <w:t xml:space="preserve">may be </w:t>
      </w:r>
      <w:r w:rsidRPr="00662777">
        <w:t>retire</w:t>
      </w:r>
      <w:r w:rsidR="00094281" w:rsidRPr="00662777">
        <w:t>d</w:t>
      </w:r>
      <w:r w:rsidRPr="00662777">
        <w:t xml:space="preserve"> and loads may grow such that there is no</w:t>
      </w:r>
      <w:r w:rsidR="00BE72F5" w:rsidRPr="00662777">
        <w:t>-longer an excess of generators</w:t>
      </w:r>
      <w:r w:rsidR="00C02F07" w:rsidRPr="00662777">
        <w:t>. In this year, the “resource balance year</w:t>
      </w:r>
      <w:r w:rsidR="00137A46" w:rsidRPr="00662777">
        <w:t>” (RBY),</w:t>
      </w:r>
      <w:r w:rsidR="00C02F07" w:rsidRPr="00662777">
        <w:t xml:space="preserve"> LSEs will need to contract with a new generator </w:t>
      </w:r>
      <w:r w:rsidR="00BE72F5" w:rsidRPr="00662777">
        <w:t>in order to meet their RA obligation.</w:t>
      </w:r>
      <w:r w:rsidR="00662777">
        <w:t xml:space="preserve"> Before its elimination the RBY was a much debated concept and year and was based on when lumpy supply-side solutions would be needed to meet capacity needs. As. D16-06-007 finds, the RBY is no longer appropriate in a high-DER world.</w:t>
      </w:r>
    </w:p>
    <w:p w14:paraId="04564D40" w14:textId="5CE1757D" w:rsidR="00BE72F5" w:rsidRPr="00B866DB" w:rsidRDefault="00BE72F5" w:rsidP="007118F2">
      <w:pPr>
        <w:pStyle w:val="ListParagraph"/>
        <w:numPr>
          <w:ilvl w:val="1"/>
          <w:numId w:val="6"/>
        </w:numPr>
        <w:spacing w:after="0"/>
      </w:pPr>
      <w:r w:rsidRPr="00B866DB">
        <w:t xml:space="preserve">The net cost of new entry (CONE) is an estimate of how much </w:t>
      </w:r>
      <w:r w:rsidR="00B46EE7" w:rsidRPr="00B866DB">
        <w:t>generation capacity</w:t>
      </w:r>
      <w:r w:rsidRPr="00B866DB">
        <w:t xml:space="preserve"> would cost from a new generator. It is an estimate of the </w:t>
      </w:r>
      <w:r w:rsidR="00314E76" w:rsidRPr="00B866DB">
        <w:t>levelized annual</w:t>
      </w:r>
      <w:r w:rsidRPr="00B866DB">
        <w:t xml:space="preserve"> cost of building a new generator less the </w:t>
      </w:r>
      <w:r w:rsidR="00314E76" w:rsidRPr="00B866DB">
        <w:t xml:space="preserve">levelized </w:t>
      </w:r>
      <w:r w:rsidRPr="00B866DB">
        <w:t>annual energy and ancillary service revenue the plant would be expected to generate.</w:t>
      </w:r>
      <w:r w:rsidR="00FC2340">
        <w:t xml:space="preserve">  The value of CONE can differ by utility service territory, due to factors such as siting costs, the expected energy and ancillary service rents, and different environmental regulations.</w:t>
      </w:r>
    </w:p>
    <w:p w14:paraId="2284E90A" w14:textId="40C89F1F" w:rsidR="00094281" w:rsidRPr="00B866DB" w:rsidRDefault="00094281" w:rsidP="007118F2">
      <w:pPr>
        <w:pStyle w:val="ListParagraph"/>
        <w:numPr>
          <w:ilvl w:val="1"/>
          <w:numId w:val="6"/>
        </w:numPr>
        <w:spacing w:after="0"/>
      </w:pPr>
      <w:r w:rsidRPr="00B866DB">
        <w:t xml:space="preserve">In the </w:t>
      </w:r>
      <w:r w:rsidR="00137A46" w:rsidRPr="00B866DB">
        <w:t xml:space="preserve">RBY </w:t>
      </w:r>
      <w:r w:rsidRPr="00B866DB">
        <w:t>and beyond, DERs are reducing the amount of new generating capacity that must be built; hence the CONE represents the long-</w:t>
      </w:r>
      <w:r w:rsidR="0036691A">
        <w:t>run</w:t>
      </w:r>
      <w:r w:rsidR="0036691A" w:rsidRPr="00B866DB">
        <w:t xml:space="preserve"> </w:t>
      </w:r>
      <w:r w:rsidRPr="00B866DB">
        <w:t>generation capacity avoided cost.</w:t>
      </w:r>
    </w:p>
    <w:p w14:paraId="747B03E3" w14:textId="6004ECAB" w:rsidR="00C02F07" w:rsidRPr="00B866DB" w:rsidRDefault="00C02F07" w:rsidP="007118F2">
      <w:pPr>
        <w:pStyle w:val="ListParagraph"/>
        <w:numPr>
          <w:ilvl w:val="1"/>
          <w:numId w:val="6"/>
        </w:numPr>
        <w:spacing w:after="0"/>
      </w:pPr>
      <w:r w:rsidRPr="00B866DB">
        <w:t>In any year, CONE represents the maximum generation capacity avoided</w:t>
      </w:r>
      <w:r w:rsidR="006237C6">
        <w:t xml:space="preserve"> cost</w:t>
      </w:r>
      <w:r w:rsidRPr="00B866DB">
        <w:t xml:space="preserve">, since </w:t>
      </w:r>
      <w:r w:rsidR="006237C6">
        <w:t>it reflects the cost of</w:t>
      </w:r>
      <w:r w:rsidRPr="00B866DB">
        <w:t xml:space="preserve"> </w:t>
      </w:r>
      <w:r w:rsidR="006237C6" w:rsidRPr="00B866DB">
        <w:t>increas</w:t>
      </w:r>
      <w:r w:rsidR="006237C6">
        <w:t>ing</w:t>
      </w:r>
      <w:r w:rsidR="006237C6" w:rsidRPr="00B866DB">
        <w:t xml:space="preserve"> </w:t>
      </w:r>
      <w:r w:rsidRPr="00B866DB">
        <w:t xml:space="preserve">generating capacity </w:t>
      </w:r>
      <w:r w:rsidR="006237C6">
        <w:t>by</w:t>
      </w:r>
      <w:r w:rsidRPr="00B866DB">
        <w:t xml:space="preserve"> build</w:t>
      </w:r>
      <w:r w:rsidR="006237C6">
        <w:t>ing</w:t>
      </w:r>
      <w:r w:rsidRPr="00B866DB">
        <w:t xml:space="preserve"> a new generator.</w:t>
      </w:r>
    </w:p>
    <w:p w14:paraId="4203EB8A" w14:textId="649EE35E" w:rsidR="00B46EE7" w:rsidRDefault="00B46EE7" w:rsidP="007118F2">
      <w:pPr>
        <w:pStyle w:val="ListParagraph"/>
        <w:numPr>
          <w:ilvl w:val="1"/>
          <w:numId w:val="6"/>
        </w:numPr>
        <w:spacing w:after="0"/>
      </w:pPr>
      <w:r w:rsidRPr="00B866DB">
        <w:t xml:space="preserve">CONE includes cost components, such as </w:t>
      </w:r>
      <w:r w:rsidR="00094281" w:rsidRPr="00B866DB">
        <w:t xml:space="preserve">the cost of </w:t>
      </w:r>
      <w:r w:rsidRPr="00B866DB">
        <w:t xml:space="preserve">land for a new generator, which </w:t>
      </w:r>
      <w:r w:rsidR="00E66BCF">
        <w:t xml:space="preserve">could </w:t>
      </w:r>
      <w:r w:rsidRPr="00B866DB">
        <w:t>vary</w:t>
      </w:r>
      <w:r w:rsidR="0036691A">
        <w:t xml:space="preserve"> by location</w:t>
      </w:r>
      <w:r w:rsidRPr="00B866DB">
        <w:t>; however</w:t>
      </w:r>
      <w:r w:rsidR="003A0E16" w:rsidRPr="00B866DB">
        <w:t>,</w:t>
      </w:r>
      <w:r w:rsidRPr="00B866DB">
        <w:t xml:space="preserve"> since CONE is based on a system-level shortage of resources, such components are</w:t>
      </w:r>
      <w:r w:rsidR="00E66BCF">
        <w:t xml:space="preserve"> evaluated locationally</w:t>
      </w:r>
      <w:r w:rsidRPr="00B866DB">
        <w:t xml:space="preserve"> to calculate location-specific variants of the CONE.</w:t>
      </w:r>
    </w:p>
    <w:p w14:paraId="7A0E2DD7" w14:textId="387DA709" w:rsidR="00602D31" w:rsidRPr="00B866DB" w:rsidRDefault="00602D31" w:rsidP="007118F2">
      <w:pPr>
        <w:pStyle w:val="ListParagraph"/>
        <w:numPr>
          <w:ilvl w:val="1"/>
          <w:numId w:val="6"/>
        </w:numPr>
        <w:spacing w:after="0"/>
      </w:pPr>
      <w:r>
        <w:t xml:space="preserve">CONE also should be adjusted for losses, because 1 MW of capacity supplied by DERs behind the meter is equivalent to 1 + Loss % MW of generation-level capacity from a new utility-scale generator, as a result of the losses between the utility-scale generator and loads.  These loss percentages will vary by location, and thus so will CONE. </w:t>
      </w:r>
    </w:p>
    <w:p w14:paraId="672C16D4" w14:textId="11E04D2A" w:rsidR="00085335" w:rsidRPr="0036691A" w:rsidRDefault="00085335" w:rsidP="00085335">
      <w:pPr>
        <w:pStyle w:val="Heading1"/>
        <w:spacing w:before="0"/>
      </w:pPr>
      <w:r w:rsidRPr="0036691A">
        <w:t>Discussion</w:t>
      </w:r>
    </w:p>
    <w:p w14:paraId="01892969" w14:textId="4BF85B2D" w:rsidR="00085335" w:rsidRPr="00B866DB" w:rsidRDefault="001761AF" w:rsidP="00FA4A8D">
      <w:pPr>
        <w:pStyle w:val="ListParagraph"/>
        <w:numPr>
          <w:ilvl w:val="0"/>
          <w:numId w:val="7"/>
        </w:numPr>
        <w:spacing w:after="0"/>
        <w:rPr>
          <w:b/>
        </w:rPr>
      </w:pPr>
      <w:r w:rsidRPr="00B866DB">
        <w:rPr>
          <w:b/>
        </w:rPr>
        <w:t>L</w:t>
      </w:r>
      <w:r w:rsidR="00FA4A8D" w:rsidRPr="00B866DB">
        <w:rPr>
          <w:b/>
        </w:rPr>
        <w:t>e</w:t>
      </w:r>
      <w:r w:rsidRPr="00B866DB">
        <w:rPr>
          <w:b/>
        </w:rPr>
        <w:t xml:space="preserve">vel of Granularity for Generation Capacity </w:t>
      </w:r>
    </w:p>
    <w:p w14:paraId="06064CFB" w14:textId="7BF073C9" w:rsidR="00085335" w:rsidRPr="00B866DB" w:rsidRDefault="00085335" w:rsidP="00FA4A8D">
      <w:pPr>
        <w:pStyle w:val="ListParagraph"/>
        <w:numPr>
          <w:ilvl w:val="1"/>
          <w:numId w:val="7"/>
        </w:numPr>
        <w:spacing w:after="0"/>
      </w:pPr>
      <w:r w:rsidRPr="00B866DB">
        <w:lastRenderedPageBreak/>
        <w:t xml:space="preserve">As described above, RA </w:t>
      </w:r>
      <w:r w:rsidR="00276578" w:rsidRPr="00B866DB">
        <w:t>can be</w:t>
      </w:r>
      <w:r w:rsidRPr="00B866DB">
        <w:t xml:space="preserve"> either System or Local, de</w:t>
      </w:r>
      <w:r w:rsidR="00D636D8" w:rsidRPr="00B866DB">
        <w:t xml:space="preserve">pending on whether </w:t>
      </w:r>
      <w:r w:rsidR="00276578" w:rsidRPr="00B866DB">
        <w:t>a resource</w:t>
      </w:r>
      <w:r w:rsidR="00D636D8" w:rsidRPr="00B866DB">
        <w:t xml:space="preserve"> is </w:t>
      </w:r>
      <w:r w:rsidR="00276578" w:rsidRPr="00B866DB">
        <w:t xml:space="preserve">located </w:t>
      </w:r>
      <w:r w:rsidR="00D636D8" w:rsidRPr="00B866DB">
        <w:t xml:space="preserve">in a </w:t>
      </w:r>
      <w:r w:rsidR="00276578" w:rsidRPr="00B866DB">
        <w:t xml:space="preserve">CPUC-designated </w:t>
      </w:r>
      <w:r w:rsidR="00D636D8" w:rsidRPr="00B866DB">
        <w:t>L</w:t>
      </w:r>
      <w:r w:rsidR="00276578" w:rsidRPr="00B866DB">
        <w:t xml:space="preserve">ocal RA area, informed by CAISO’s LCR Areas. </w:t>
      </w:r>
    </w:p>
    <w:p w14:paraId="3AC3F6A0" w14:textId="37F847CB" w:rsidR="00085335" w:rsidRPr="00B866DB" w:rsidRDefault="00085335" w:rsidP="00FA4A8D">
      <w:pPr>
        <w:pStyle w:val="ListParagraph"/>
        <w:numPr>
          <w:ilvl w:val="1"/>
          <w:numId w:val="7"/>
        </w:numPr>
        <w:spacing w:after="0"/>
      </w:pPr>
      <w:r w:rsidRPr="00B866DB">
        <w:t>The highest level of granularity for RA price variation is therefore at the L</w:t>
      </w:r>
      <w:r w:rsidR="00276578" w:rsidRPr="00B866DB">
        <w:t>ocal RA</w:t>
      </w:r>
      <w:r w:rsidRPr="00B866DB">
        <w:t xml:space="preserve"> level</w:t>
      </w:r>
      <w:r w:rsidR="00276578" w:rsidRPr="00B866DB">
        <w:t>.</w:t>
      </w:r>
    </w:p>
    <w:p w14:paraId="5333D69F" w14:textId="2A491677" w:rsidR="00C02F07" w:rsidRPr="00B866DB" w:rsidRDefault="00C02F07" w:rsidP="00FA4A8D">
      <w:pPr>
        <w:pStyle w:val="ListParagraph"/>
        <w:numPr>
          <w:ilvl w:val="0"/>
          <w:numId w:val="7"/>
        </w:numPr>
        <w:spacing w:after="0"/>
        <w:rPr>
          <w:b/>
        </w:rPr>
      </w:pPr>
      <w:r w:rsidRPr="00B866DB">
        <w:rPr>
          <w:b/>
        </w:rPr>
        <w:t>LNBA WG discussions</w:t>
      </w:r>
    </w:p>
    <w:p w14:paraId="33A7D562" w14:textId="77777777" w:rsidR="00CA71AF" w:rsidRPr="00B866DB" w:rsidRDefault="00F6426B" w:rsidP="00FA4A8D">
      <w:pPr>
        <w:pStyle w:val="ListParagraph"/>
        <w:numPr>
          <w:ilvl w:val="1"/>
          <w:numId w:val="7"/>
        </w:numPr>
        <w:spacing w:after="0"/>
      </w:pPr>
      <w:r w:rsidRPr="00B866DB">
        <w:t>During the 7/15 LNBA WG meeting, the IOUs introduced the CPUC RA report and existing public generation capacity price forecasts, including the forecast currently in the Demo B LNBA tool.</w:t>
      </w:r>
      <w:r w:rsidR="00FA4A8D" w:rsidRPr="00B866DB">
        <w:t xml:space="preserve"> </w:t>
      </w:r>
    </w:p>
    <w:p w14:paraId="27714917" w14:textId="4B7C61D1" w:rsidR="00062F4C" w:rsidRPr="00B866DB" w:rsidRDefault="00FA4A8D" w:rsidP="00FA4A8D">
      <w:pPr>
        <w:pStyle w:val="ListParagraph"/>
        <w:numPr>
          <w:ilvl w:val="1"/>
          <w:numId w:val="7"/>
        </w:numPr>
        <w:spacing w:after="0"/>
      </w:pPr>
      <w:r w:rsidRPr="00B866DB">
        <w:t xml:space="preserve">Discussion centered on the need to reconcile the </w:t>
      </w:r>
      <w:r w:rsidR="00CA71AF" w:rsidRPr="00B866DB">
        <w:t>requirement</w:t>
      </w:r>
      <w:r w:rsidRPr="00B866DB">
        <w:t xml:space="preserve"> </w:t>
      </w:r>
      <w:r w:rsidR="00CA71AF" w:rsidRPr="00B866DB">
        <w:t>for</w:t>
      </w:r>
      <w:r w:rsidRPr="00B866DB">
        <w:t xml:space="preserve"> location-specific generation capacity avoided costs in LNBA with the fact that the only locational information available</w:t>
      </w:r>
      <w:r w:rsidR="00CA71AF" w:rsidRPr="00B866DB">
        <w:t xml:space="preserve"> (i.e. the CPUC RA report)</w:t>
      </w:r>
      <w:r w:rsidRPr="00B866DB">
        <w:t xml:space="preserve"> applies to the short-</w:t>
      </w:r>
      <w:r w:rsidR="0036691A">
        <w:t>run</w:t>
      </w:r>
      <w:r w:rsidR="0036691A" w:rsidRPr="00B866DB">
        <w:t xml:space="preserve"> </w:t>
      </w:r>
      <w:r w:rsidRPr="00B866DB">
        <w:t>generation capacity cost</w:t>
      </w:r>
      <w:r w:rsidR="00CA71AF" w:rsidRPr="00B866DB">
        <w:t xml:space="preserve"> (i.e. RA prices</w:t>
      </w:r>
      <w:r w:rsidRPr="00B866DB">
        <w:t>) but not to the long-</w:t>
      </w:r>
      <w:r w:rsidR="0036691A">
        <w:t>run</w:t>
      </w:r>
      <w:r w:rsidR="0036691A" w:rsidRPr="00B866DB">
        <w:t xml:space="preserve"> </w:t>
      </w:r>
      <w:r w:rsidRPr="00B866DB">
        <w:t>generation capacity avoided cost</w:t>
      </w:r>
      <w:r w:rsidR="00CA71AF" w:rsidRPr="00B866DB">
        <w:t xml:space="preserve"> (i.e. CONE</w:t>
      </w:r>
      <w:r w:rsidRPr="00B866DB">
        <w:t xml:space="preserve">). </w:t>
      </w:r>
      <w:r w:rsidR="00F6426B" w:rsidRPr="00B866DB">
        <w:t xml:space="preserve"> Stakeholders expressed openness to an IOU proposal which used RA price data to develop short-</w:t>
      </w:r>
      <w:r w:rsidR="0036691A">
        <w:t>run</w:t>
      </w:r>
      <w:r w:rsidR="0036691A" w:rsidRPr="00B866DB">
        <w:t xml:space="preserve"> </w:t>
      </w:r>
      <w:r w:rsidR="00F6426B" w:rsidRPr="00B866DB">
        <w:t xml:space="preserve">locational </w:t>
      </w:r>
      <w:r w:rsidR="008E1652" w:rsidRPr="00B866DB">
        <w:t>generation capacity avoided costs.</w:t>
      </w:r>
    </w:p>
    <w:p w14:paraId="40ECA2C1" w14:textId="7C39A322" w:rsidR="008E1652" w:rsidRPr="00B866DB" w:rsidRDefault="008E1652" w:rsidP="00FA4A8D">
      <w:pPr>
        <w:pStyle w:val="ListParagraph"/>
        <w:numPr>
          <w:ilvl w:val="1"/>
          <w:numId w:val="7"/>
        </w:numPr>
        <w:spacing w:after="0"/>
      </w:pPr>
      <w:r w:rsidRPr="00B866DB">
        <w:t>During the 8</w:t>
      </w:r>
      <w:r w:rsidR="00CA71AF" w:rsidRPr="00B866DB">
        <w:t>/</w:t>
      </w:r>
      <w:r w:rsidRPr="00B866DB">
        <w:t xml:space="preserve">15 LNBA WG meeting, the IOUs presented </w:t>
      </w:r>
      <w:r w:rsidR="007457A7">
        <w:t>a proposal to parties</w:t>
      </w:r>
      <w:r w:rsidRPr="00B866DB">
        <w:t xml:space="preserve"> and answered questions.  This</w:t>
      </w:r>
      <w:r w:rsidR="007457A7">
        <w:t xml:space="preserve"> document outlines SEIAs concurrence on some issues of fact but rejection of the proposed replacement of CONE with local RA and a local RBY, in light of the long-run value of DERs and the Commission’s recent elimination of the Resource Balance Year in </w:t>
      </w:r>
      <w:bookmarkStart w:id="0" w:name="_Hlk491852180"/>
      <w:r w:rsidR="007457A7">
        <w:t>D.16-06-007</w:t>
      </w:r>
      <w:bookmarkEnd w:id="0"/>
      <w:r w:rsidR="007457A7">
        <w:t>.</w:t>
      </w:r>
    </w:p>
    <w:p w14:paraId="573D63AB" w14:textId="26436511" w:rsidR="00085335" w:rsidRPr="00B866DB" w:rsidRDefault="00085335" w:rsidP="00FA4A8D">
      <w:pPr>
        <w:pStyle w:val="ListParagraph"/>
        <w:numPr>
          <w:ilvl w:val="0"/>
          <w:numId w:val="7"/>
        </w:numPr>
        <w:spacing w:after="0"/>
        <w:rPr>
          <w:b/>
        </w:rPr>
      </w:pPr>
      <w:r w:rsidRPr="00B866DB">
        <w:rPr>
          <w:b/>
        </w:rPr>
        <w:t xml:space="preserve">Use of the Resource Balance Year in </w:t>
      </w:r>
      <w:r w:rsidR="00E5457F" w:rsidRPr="00B866DB">
        <w:rPr>
          <w:b/>
        </w:rPr>
        <w:t>L</w:t>
      </w:r>
      <w:r w:rsidRPr="00B866DB">
        <w:rPr>
          <w:b/>
        </w:rPr>
        <w:t>ight of IDER Decision D</w:t>
      </w:r>
      <w:r w:rsidR="00B866DB" w:rsidRPr="00B866DB">
        <w:rPr>
          <w:b/>
        </w:rPr>
        <w:t>.</w:t>
      </w:r>
      <w:r w:rsidRPr="00B866DB">
        <w:rPr>
          <w:b/>
        </w:rPr>
        <w:t>16-06-007</w:t>
      </w:r>
    </w:p>
    <w:p w14:paraId="69258962" w14:textId="4E38C845" w:rsidR="00085335" w:rsidRPr="00B866DB" w:rsidRDefault="00C5565C" w:rsidP="00FA4A8D">
      <w:pPr>
        <w:pStyle w:val="ListParagraph"/>
        <w:numPr>
          <w:ilvl w:val="1"/>
          <w:numId w:val="7"/>
        </w:numPr>
        <w:spacing w:after="0"/>
      </w:pPr>
      <w:r w:rsidRPr="00B866DB">
        <w:t>D</w:t>
      </w:r>
      <w:r w:rsidR="00085335" w:rsidRPr="00B866DB">
        <w:t xml:space="preserve">ecision 16-06-007 in the IDER proceeding required </w:t>
      </w:r>
      <w:r w:rsidR="0084085C" w:rsidRPr="00B866DB">
        <w:t xml:space="preserve">the </w:t>
      </w:r>
      <w:r w:rsidR="00085335" w:rsidRPr="00B866DB">
        <w:t xml:space="preserve">use of </w:t>
      </w:r>
      <w:r w:rsidR="0084085C" w:rsidRPr="00B866DB">
        <w:t xml:space="preserve">capacity benefits based on </w:t>
      </w:r>
      <w:r w:rsidR="00085335" w:rsidRPr="00B866DB">
        <w:t>the long-</w:t>
      </w:r>
      <w:r w:rsidR="00B866DB" w:rsidRPr="00B866DB">
        <w:t>run</w:t>
      </w:r>
      <w:r w:rsidR="00085335" w:rsidRPr="00B866DB">
        <w:t xml:space="preserve"> avoided capacity cost </w:t>
      </w:r>
      <w:r w:rsidR="00B866DB" w:rsidRPr="00B866DB">
        <w:t>when doing</w:t>
      </w:r>
      <w:r w:rsidR="0084085C" w:rsidRPr="00B866DB">
        <w:t xml:space="preserve"> cost-effectiveness analyses of demand-side management programs</w:t>
      </w:r>
      <w:r w:rsidR="00B866DB" w:rsidRPr="00B866DB">
        <w:t>.  Similarly</w:t>
      </w:r>
      <w:r w:rsidR="00085335" w:rsidRPr="00B866DB">
        <w:t xml:space="preserve">, </w:t>
      </w:r>
      <w:r w:rsidR="00B866DB" w:rsidRPr="00B866DB">
        <w:t>it</w:t>
      </w:r>
      <w:r w:rsidR="00085335" w:rsidRPr="00B866DB">
        <w:t xml:space="preserve"> prohibited </w:t>
      </w:r>
      <w:r w:rsidR="0084085C" w:rsidRPr="00B866DB">
        <w:t>the concept of</w:t>
      </w:r>
      <w:r w:rsidR="00085335" w:rsidRPr="00B866DB">
        <w:t xml:space="preserve"> resource balance year </w:t>
      </w:r>
      <w:r w:rsidR="0084085C" w:rsidRPr="00B866DB">
        <w:t xml:space="preserve">(a.k.a. year of need) </w:t>
      </w:r>
      <w:r w:rsidR="00085335" w:rsidRPr="00B866DB">
        <w:t xml:space="preserve">in the </w:t>
      </w:r>
      <w:r w:rsidR="0084085C" w:rsidRPr="00B866DB">
        <w:t xml:space="preserve">Commission’s </w:t>
      </w:r>
      <w:r w:rsidR="00085335" w:rsidRPr="00B866DB">
        <w:t xml:space="preserve">DER avoided cost </w:t>
      </w:r>
      <w:r w:rsidR="0084085C" w:rsidRPr="00B866DB">
        <w:t>model</w:t>
      </w:r>
      <w:r w:rsidR="00085335" w:rsidRPr="00B866DB">
        <w:t>.</w:t>
      </w:r>
    </w:p>
    <w:p w14:paraId="5B976F79" w14:textId="7B6ED49C" w:rsidR="00E5457F" w:rsidRPr="00B866DB" w:rsidRDefault="0013309B" w:rsidP="00FA4A8D">
      <w:pPr>
        <w:pStyle w:val="ListParagraph"/>
        <w:numPr>
          <w:ilvl w:val="1"/>
          <w:numId w:val="7"/>
        </w:numPr>
        <w:spacing w:after="0"/>
      </w:pPr>
      <w:r>
        <w:t>The IOUs argue that the LNBA will</w:t>
      </w:r>
      <w:r w:rsidR="00E5457F" w:rsidRPr="00B866DB">
        <w:t xml:space="preserve"> not </w:t>
      </w:r>
      <w:r>
        <w:t>be</w:t>
      </w:r>
      <w:r w:rsidR="00E5457F" w:rsidRPr="00B866DB">
        <w:t xml:space="preserve"> used for the purpose of evaluating cost-effectiveness of DER programs and tariffs</w:t>
      </w:r>
      <w:r>
        <w:t>. A Proposed Decision in R.14-08-013 released August 25, 2017 reaffirms that a revised DERAC calculator is an intended use case of the LNBA.</w:t>
      </w:r>
    </w:p>
    <w:p w14:paraId="2711BCA5" w14:textId="5FECA677" w:rsidR="00044A11" w:rsidRDefault="00085335" w:rsidP="00FA4A8D">
      <w:pPr>
        <w:pStyle w:val="ListParagraph"/>
        <w:numPr>
          <w:ilvl w:val="1"/>
          <w:numId w:val="7"/>
        </w:numPr>
        <w:spacing w:after="0"/>
      </w:pPr>
      <w:r w:rsidRPr="00B866DB">
        <w:t>If th</w:t>
      </w:r>
      <w:r w:rsidR="00C5565C" w:rsidRPr="00B866DB">
        <w:t>is</w:t>
      </w:r>
      <w:r w:rsidRPr="00B866DB">
        <w:t xml:space="preserve"> proposal </w:t>
      </w:r>
      <w:r w:rsidR="00E5457F" w:rsidRPr="00B866DB">
        <w:t xml:space="preserve">is incorporated into the LNBA methodology and if a </w:t>
      </w:r>
      <w:r w:rsidR="0084085C" w:rsidRPr="00B866DB">
        <w:t>C</w:t>
      </w:r>
      <w:r w:rsidR="00E5457F" w:rsidRPr="00B866DB">
        <w:t xml:space="preserve">ommission decision directs the LNBA to be used </w:t>
      </w:r>
      <w:r w:rsidRPr="00B866DB">
        <w:t xml:space="preserve">for </w:t>
      </w:r>
      <w:r w:rsidR="00E5457F" w:rsidRPr="00B866DB">
        <w:t xml:space="preserve">purposes of </w:t>
      </w:r>
      <w:r w:rsidRPr="00B866DB">
        <w:t>DER cost-effectiveness i</w:t>
      </w:r>
      <w:r w:rsidR="00C5565C" w:rsidRPr="00B866DB">
        <w:t xml:space="preserve">n IDER, </w:t>
      </w:r>
      <w:r w:rsidR="00E5457F" w:rsidRPr="00B866DB">
        <w:t xml:space="preserve">the </w:t>
      </w:r>
      <w:r w:rsidR="0084085C" w:rsidRPr="00B866DB">
        <w:t>C</w:t>
      </w:r>
      <w:r w:rsidR="00E5457F" w:rsidRPr="00B866DB">
        <w:t xml:space="preserve">ommission would </w:t>
      </w:r>
      <w:r w:rsidR="003D41DC" w:rsidRPr="00B866DB">
        <w:t xml:space="preserve">also </w:t>
      </w:r>
      <w:r w:rsidR="00E5457F" w:rsidRPr="00B866DB">
        <w:t>have to modify D.16-06-007</w:t>
      </w:r>
      <w:r w:rsidR="00C5565C" w:rsidRPr="00B866DB">
        <w:t xml:space="preserve"> and potentially </w:t>
      </w:r>
      <w:r w:rsidR="00E5457F" w:rsidRPr="00B866DB">
        <w:t xml:space="preserve">require </w:t>
      </w:r>
      <w:r w:rsidR="00C5565C" w:rsidRPr="00B866DB">
        <w:t xml:space="preserve">additional stakeholder </w:t>
      </w:r>
      <w:r w:rsidR="00E5457F" w:rsidRPr="00B866DB">
        <w:t xml:space="preserve">review </w:t>
      </w:r>
      <w:r w:rsidR="00C5565C" w:rsidRPr="00B866DB">
        <w:t>in the IDER proceeding</w:t>
      </w:r>
      <w:r w:rsidRPr="00B866DB">
        <w:t>.</w:t>
      </w:r>
    </w:p>
    <w:p w14:paraId="57B93B34" w14:textId="10F0DF50" w:rsidR="00E85086" w:rsidRDefault="00E85086" w:rsidP="00FA4A8D">
      <w:pPr>
        <w:pStyle w:val="ListParagraph"/>
        <w:numPr>
          <w:ilvl w:val="1"/>
          <w:numId w:val="7"/>
        </w:numPr>
        <w:spacing w:after="0"/>
      </w:pPr>
      <w:r>
        <w:t>SEIA also observes that the IOU method uses location-specific short-run RA values, but a system-wide resource balance year.  Local areas with high short-run RA values are presumably closer to the RBY in that local area than the system as a whole, and thus should increase more quickly tha</w:t>
      </w:r>
      <w:r w:rsidR="00FC2340">
        <w:t>n</w:t>
      </w:r>
      <w:r>
        <w:t xml:space="preserve"> system-average capacity values.</w:t>
      </w:r>
      <w:r w:rsidR="00FC2340">
        <w:t xml:space="preserve">  However, the IOU method does not use RBYs for local resources areas.</w:t>
      </w:r>
    </w:p>
    <w:p w14:paraId="41267C35" w14:textId="03B3B664" w:rsidR="00602D31" w:rsidRDefault="00602D31" w:rsidP="003E2B90">
      <w:pPr>
        <w:pStyle w:val="ListParagraph"/>
        <w:numPr>
          <w:ilvl w:val="1"/>
          <w:numId w:val="7"/>
        </w:numPr>
        <w:spacing w:after="0"/>
      </w:pPr>
      <w:r>
        <w:t>SEIA and its members supported D. 16-06-007’s elimination of the resource balance year concept when determining the cost-effectiveness of DERs.</w:t>
      </w:r>
      <w:r w:rsidR="003E2B90">
        <w:t xml:space="preserve">  SEIA agrees with D. 16-06-007’s conclusion to eliminate the RBY because </w:t>
      </w:r>
      <w:r w:rsidR="003E2B90" w:rsidRPr="003E2B90">
        <w:t>distributed energy resources are displacing new capacity rather than short-term capacity</w:t>
      </w:r>
      <w:r w:rsidR="003E2B90">
        <w:t xml:space="preserve">, and because the RBY concept fails to recognize the </w:t>
      </w:r>
      <w:r w:rsidR="00FC2340">
        <w:t xml:space="preserve">full </w:t>
      </w:r>
      <w:r w:rsidR="003E2B90">
        <w:t>value of small-increment, short-lead-time, high priority resources such as DERs.</w:t>
      </w:r>
    </w:p>
    <w:p w14:paraId="6127671D" w14:textId="77777777" w:rsidR="003E2B90" w:rsidRPr="00B866DB" w:rsidRDefault="003E2B90" w:rsidP="00B43912">
      <w:pPr>
        <w:pStyle w:val="ListParagraph"/>
        <w:spacing w:after="0"/>
        <w:ind w:left="792"/>
      </w:pPr>
    </w:p>
    <w:p w14:paraId="400DC907" w14:textId="50B58535" w:rsidR="00062F4C" w:rsidRPr="0036691A" w:rsidRDefault="00EC57A5" w:rsidP="00D04B9A">
      <w:pPr>
        <w:pStyle w:val="Heading1"/>
        <w:spacing w:before="0"/>
      </w:pPr>
      <w:r w:rsidRPr="0036691A">
        <w:lastRenderedPageBreak/>
        <w:t>Proposal</w:t>
      </w:r>
    </w:p>
    <w:p w14:paraId="348FAF2F" w14:textId="2E12E10A" w:rsidR="00062F4C" w:rsidRDefault="008D576B" w:rsidP="00B43912">
      <w:pPr>
        <w:pStyle w:val="ListParagraph"/>
        <w:numPr>
          <w:ilvl w:val="0"/>
          <w:numId w:val="10"/>
        </w:numPr>
        <w:spacing w:after="0"/>
        <w:ind w:left="360"/>
      </w:pPr>
      <w:r w:rsidRPr="003E2B90">
        <w:rPr>
          <w:b/>
        </w:rPr>
        <w:t>Calculat</w:t>
      </w:r>
      <w:r w:rsidR="00E52920" w:rsidRPr="003E2B90">
        <w:rPr>
          <w:b/>
        </w:rPr>
        <w:t>e</w:t>
      </w:r>
      <w:r w:rsidR="000B0E8A" w:rsidRPr="003E2B90">
        <w:rPr>
          <w:b/>
        </w:rPr>
        <w:t xml:space="preserve"> </w:t>
      </w:r>
      <w:r w:rsidR="003E2B90" w:rsidRPr="003E2B90">
        <w:rPr>
          <w:b/>
        </w:rPr>
        <w:t>the loss-adjusted CONE for each IOU service territory.</w:t>
      </w:r>
      <w:r w:rsidR="00B43912">
        <w:rPr>
          <w:b/>
        </w:rPr>
        <w:t xml:space="preserve">  </w:t>
      </w:r>
      <w:r w:rsidR="003E2B90">
        <w:t>SEIA</w:t>
      </w:r>
      <w:r w:rsidR="000B0E8A" w:rsidRPr="00B866DB">
        <w:t xml:space="preserve"> propose</w:t>
      </w:r>
      <w:r w:rsidR="003E2B90">
        <w:t>s</w:t>
      </w:r>
      <w:r w:rsidR="000B0E8A" w:rsidRPr="00B866DB">
        <w:t xml:space="preserve"> to develop </w:t>
      </w:r>
      <w:r w:rsidR="003E2B90">
        <w:t xml:space="preserve">IOU-specific, loss-adjusted CONE values for each IOU service territory.  Loss adjustments should be based on peak period line losses in each IOU service territory </w:t>
      </w:r>
      <w:r w:rsidR="00B43912">
        <w:t xml:space="preserve">from the </w:t>
      </w:r>
      <w:r w:rsidR="003E2B90">
        <w:t xml:space="preserve">generation level </w:t>
      </w:r>
      <w:r w:rsidR="00B43912">
        <w:t>to the load level</w:t>
      </w:r>
      <w:r w:rsidR="003E2B90">
        <w:t>.  These IOU-specific CONE values would reflect locational difference</w:t>
      </w:r>
      <w:r w:rsidR="00B43912">
        <w:t>s</w:t>
      </w:r>
      <w:r w:rsidR="003E2B90">
        <w:t xml:space="preserve"> due to (1) differences in peak period </w:t>
      </w:r>
      <w:bookmarkStart w:id="1" w:name="_GoBack"/>
      <w:bookmarkEnd w:id="1"/>
      <w:r w:rsidR="003E2B90">
        <w:t xml:space="preserve">losses in each IOU service territory and (2) different CONE calculations </w:t>
      </w:r>
      <w:r w:rsidR="00B43912">
        <w:t xml:space="preserve">given </w:t>
      </w:r>
      <w:r w:rsidR="003E2B90">
        <w:t xml:space="preserve">variations in CONE between service territories as a result of differences in </w:t>
      </w:r>
      <w:r w:rsidR="00B43912">
        <w:t xml:space="preserve">siting costs, </w:t>
      </w:r>
      <w:r w:rsidR="003E2B90">
        <w:t xml:space="preserve">energy rents, </w:t>
      </w:r>
      <w:r w:rsidR="00B43912">
        <w:t xml:space="preserve">environmental </w:t>
      </w:r>
      <w:r w:rsidR="003E2B90">
        <w:t xml:space="preserve">costs, or the </w:t>
      </w:r>
      <w:r w:rsidR="006C4E1F">
        <w:t xml:space="preserve">base </w:t>
      </w:r>
      <w:r w:rsidR="003E2B90">
        <w:t>cost of the marginal source of capacity.</w:t>
      </w:r>
    </w:p>
    <w:p w14:paraId="25501799" w14:textId="77777777" w:rsidR="006C4E1F" w:rsidRPr="00B866DB" w:rsidRDefault="006C4E1F" w:rsidP="006C4E1F">
      <w:pPr>
        <w:pStyle w:val="ListParagraph"/>
        <w:spacing w:after="0"/>
        <w:ind w:left="360"/>
      </w:pPr>
    </w:p>
    <w:p w14:paraId="07407418" w14:textId="77777777" w:rsidR="00062F4C" w:rsidRPr="0036691A" w:rsidRDefault="00062F4C" w:rsidP="00D04B9A">
      <w:pPr>
        <w:pStyle w:val="Heading1"/>
        <w:spacing w:before="0"/>
      </w:pPr>
      <w:r w:rsidRPr="0036691A">
        <w:t>Conclusion and Next Steps</w:t>
      </w:r>
    </w:p>
    <w:p w14:paraId="07AAD1FB" w14:textId="13214EC7" w:rsidR="0071724F" w:rsidRPr="00B866DB" w:rsidRDefault="00E85086" w:rsidP="00A914F2">
      <w:pPr>
        <w:pStyle w:val="ListParagraph"/>
        <w:numPr>
          <w:ilvl w:val="0"/>
          <w:numId w:val="9"/>
        </w:numPr>
        <w:spacing w:after="0"/>
      </w:pPr>
      <w:r>
        <w:t xml:space="preserve">SEIA proposes to use loss-adjusted CONE values specific to each IOU service territory as the locational avoided cost of capacity for the LNBA. </w:t>
      </w:r>
    </w:p>
    <w:p w14:paraId="23084361" w14:textId="3F0BE33E" w:rsidR="00A914F2" w:rsidRPr="00B866DB" w:rsidRDefault="00A914F2" w:rsidP="00A914F2">
      <w:pPr>
        <w:pStyle w:val="ListParagraph"/>
        <w:numPr>
          <w:ilvl w:val="0"/>
          <w:numId w:val="9"/>
        </w:numPr>
        <w:spacing w:after="0"/>
      </w:pPr>
      <w:r w:rsidRPr="00B866DB">
        <w:t xml:space="preserve">The </w:t>
      </w:r>
      <w:r w:rsidR="0071724F" w:rsidRPr="00B866DB">
        <w:t xml:space="preserve">proposed method yields results that </w:t>
      </w:r>
      <w:r w:rsidRPr="00B866DB">
        <w:t>more accurately reflect the IOUs’ actual avoided costs than the current DERAC values</w:t>
      </w:r>
      <w:r w:rsidR="00E85086">
        <w:t xml:space="preserve"> which do not use IOU-specific CONE values</w:t>
      </w:r>
      <w:r w:rsidR="0071724F" w:rsidRPr="00B866DB">
        <w:t>.</w:t>
      </w:r>
    </w:p>
    <w:p w14:paraId="54EF6EC0" w14:textId="77777777" w:rsidR="00E00E30" w:rsidRPr="00B866DB" w:rsidRDefault="00E00E30" w:rsidP="00A914F2">
      <w:pPr>
        <w:pStyle w:val="ListParagraph"/>
        <w:spacing w:after="0"/>
      </w:pPr>
    </w:p>
    <w:sectPr w:rsidR="00E00E30" w:rsidRPr="00B866DB" w:rsidSect="00E66BC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E23727" w14:textId="77777777" w:rsidR="00B831B1" w:rsidRDefault="00B831B1" w:rsidP="005A228A">
      <w:pPr>
        <w:spacing w:after="0" w:line="240" w:lineRule="auto"/>
      </w:pPr>
      <w:r>
        <w:separator/>
      </w:r>
    </w:p>
  </w:endnote>
  <w:endnote w:type="continuationSeparator" w:id="0">
    <w:p w14:paraId="6EFA9D37" w14:textId="77777777" w:rsidR="00B831B1" w:rsidRDefault="00B831B1" w:rsidP="005A2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91A68" w14:textId="77777777" w:rsidR="00B831B1" w:rsidRDefault="00B831B1" w:rsidP="005A228A">
      <w:pPr>
        <w:spacing w:after="0" w:line="240" w:lineRule="auto"/>
      </w:pPr>
      <w:r>
        <w:separator/>
      </w:r>
    </w:p>
  </w:footnote>
  <w:footnote w:type="continuationSeparator" w:id="0">
    <w:p w14:paraId="746BB85C" w14:textId="77777777" w:rsidR="00B831B1" w:rsidRDefault="00B831B1" w:rsidP="005A22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E59FA"/>
    <w:multiLevelType w:val="hybridMultilevel"/>
    <w:tmpl w:val="3AB21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E40F8"/>
    <w:multiLevelType w:val="multilevel"/>
    <w:tmpl w:val="7B060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67D52F0"/>
    <w:multiLevelType w:val="hybridMultilevel"/>
    <w:tmpl w:val="02D8789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2B714B43"/>
    <w:multiLevelType w:val="hybridMultilevel"/>
    <w:tmpl w:val="232E01C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5A301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6FD5253"/>
    <w:multiLevelType w:val="hybridMultilevel"/>
    <w:tmpl w:val="DD00F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40E60"/>
    <w:multiLevelType w:val="multilevel"/>
    <w:tmpl w:val="7B060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1725266"/>
    <w:multiLevelType w:val="hybridMultilevel"/>
    <w:tmpl w:val="C1F0BC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CB0C6A"/>
    <w:multiLevelType w:val="multilevel"/>
    <w:tmpl w:val="7B060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6E6205BC"/>
    <w:multiLevelType w:val="multilevel"/>
    <w:tmpl w:val="7B060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6"/>
  </w:num>
  <w:num w:numId="7">
    <w:abstractNumId w:val="1"/>
  </w:num>
  <w:num w:numId="8">
    <w:abstractNumId w:val="9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F4C"/>
    <w:rsid w:val="000078BC"/>
    <w:rsid w:val="0001417A"/>
    <w:rsid w:val="00044A11"/>
    <w:rsid w:val="00062F4C"/>
    <w:rsid w:val="00074EA1"/>
    <w:rsid w:val="00085335"/>
    <w:rsid w:val="00094281"/>
    <w:rsid w:val="000B0E8A"/>
    <w:rsid w:val="000D62B6"/>
    <w:rsid w:val="0013309B"/>
    <w:rsid w:val="00137A46"/>
    <w:rsid w:val="00165AD7"/>
    <w:rsid w:val="00174199"/>
    <w:rsid w:val="001761AF"/>
    <w:rsid w:val="001B6998"/>
    <w:rsid w:val="001D191B"/>
    <w:rsid w:val="001E426F"/>
    <w:rsid w:val="0026134F"/>
    <w:rsid w:val="0026768F"/>
    <w:rsid w:val="00276578"/>
    <w:rsid w:val="002C43D8"/>
    <w:rsid w:val="0031068E"/>
    <w:rsid w:val="00314E76"/>
    <w:rsid w:val="00317312"/>
    <w:rsid w:val="0036691A"/>
    <w:rsid w:val="0037263B"/>
    <w:rsid w:val="00383277"/>
    <w:rsid w:val="003A0E16"/>
    <w:rsid w:val="003A2AFB"/>
    <w:rsid w:val="003C31FB"/>
    <w:rsid w:val="003D41DC"/>
    <w:rsid w:val="003E26D2"/>
    <w:rsid w:val="003E2B90"/>
    <w:rsid w:val="003F70F3"/>
    <w:rsid w:val="00461048"/>
    <w:rsid w:val="0046692D"/>
    <w:rsid w:val="00477FB8"/>
    <w:rsid w:val="004C674F"/>
    <w:rsid w:val="00544CA4"/>
    <w:rsid w:val="0057298B"/>
    <w:rsid w:val="005909F1"/>
    <w:rsid w:val="005A228A"/>
    <w:rsid w:val="005B2BAF"/>
    <w:rsid w:val="005F4744"/>
    <w:rsid w:val="006000D8"/>
    <w:rsid w:val="00602D31"/>
    <w:rsid w:val="00620B2E"/>
    <w:rsid w:val="006237C6"/>
    <w:rsid w:val="006260A6"/>
    <w:rsid w:val="00662777"/>
    <w:rsid w:val="006B3453"/>
    <w:rsid w:val="006C4E1F"/>
    <w:rsid w:val="007118F2"/>
    <w:rsid w:val="0071724F"/>
    <w:rsid w:val="007457A7"/>
    <w:rsid w:val="007C45EA"/>
    <w:rsid w:val="007D08F5"/>
    <w:rsid w:val="00804420"/>
    <w:rsid w:val="0084085C"/>
    <w:rsid w:val="008D576B"/>
    <w:rsid w:val="008E1652"/>
    <w:rsid w:val="009C1127"/>
    <w:rsid w:val="009F4BD4"/>
    <w:rsid w:val="00A06354"/>
    <w:rsid w:val="00A165D4"/>
    <w:rsid w:val="00A65229"/>
    <w:rsid w:val="00A90AC9"/>
    <w:rsid w:val="00A914F2"/>
    <w:rsid w:val="00AA0E02"/>
    <w:rsid w:val="00AB3939"/>
    <w:rsid w:val="00AC00D6"/>
    <w:rsid w:val="00AF0897"/>
    <w:rsid w:val="00AF2E1D"/>
    <w:rsid w:val="00B11494"/>
    <w:rsid w:val="00B43912"/>
    <w:rsid w:val="00B46EE7"/>
    <w:rsid w:val="00B54961"/>
    <w:rsid w:val="00B831B1"/>
    <w:rsid w:val="00B866DB"/>
    <w:rsid w:val="00B979A0"/>
    <w:rsid w:val="00BE3475"/>
    <w:rsid w:val="00BE72F5"/>
    <w:rsid w:val="00C02F07"/>
    <w:rsid w:val="00C105A6"/>
    <w:rsid w:val="00C12A1C"/>
    <w:rsid w:val="00C14652"/>
    <w:rsid w:val="00C458DF"/>
    <w:rsid w:val="00C5565C"/>
    <w:rsid w:val="00CA71AF"/>
    <w:rsid w:val="00CE39C5"/>
    <w:rsid w:val="00D04B9A"/>
    <w:rsid w:val="00D308B1"/>
    <w:rsid w:val="00D46D88"/>
    <w:rsid w:val="00D636D8"/>
    <w:rsid w:val="00D9146A"/>
    <w:rsid w:val="00DA043F"/>
    <w:rsid w:val="00DF6BEC"/>
    <w:rsid w:val="00E00E30"/>
    <w:rsid w:val="00E202ED"/>
    <w:rsid w:val="00E52920"/>
    <w:rsid w:val="00E5457F"/>
    <w:rsid w:val="00E66BCF"/>
    <w:rsid w:val="00E85086"/>
    <w:rsid w:val="00EB512F"/>
    <w:rsid w:val="00EC57A5"/>
    <w:rsid w:val="00EE1CD4"/>
    <w:rsid w:val="00F01ECF"/>
    <w:rsid w:val="00F20D03"/>
    <w:rsid w:val="00F6426B"/>
    <w:rsid w:val="00FA4A8D"/>
    <w:rsid w:val="00FC2340"/>
    <w:rsid w:val="00FF4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048E8"/>
  <w15:docId w15:val="{8318263B-797B-4CF3-994E-2DC68400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F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2F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F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62F4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62F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B34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3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45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B3453"/>
    <w:rPr>
      <w:rFonts w:eastAsiaTheme="minorEastAsia"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1D191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00E30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A228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228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228A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7A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610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10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10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0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104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866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66DB"/>
  </w:style>
  <w:style w:type="paragraph" w:styleId="Footer">
    <w:name w:val="footer"/>
    <w:basedOn w:val="Normal"/>
    <w:link w:val="FooterChar"/>
    <w:uiPriority w:val="99"/>
    <w:unhideWhenUsed/>
    <w:rsid w:val="00B866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66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c.ca.gov/WorkArea/DownloadAsset.aspx?id=644245394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1343E-284B-4314-841D-CFB148838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8040A950</Template>
  <TotalTime>0</TotalTime>
  <Pages>4</Pages>
  <Words>1455</Words>
  <Characters>8299</Characters>
  <Application>Microsoft Office Word</Application>
  <DocSecurity>4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Pacific Gas and Electric</Company>
  <LinksUpToDate>false</LinksUpToDate>
  <CharactersWithSpaces>9735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Castle</dc:creator>
  <cp:lastModifiedBy>Brandon Smithwood</cp:lastModifiedBy>
  <cp:revision>2</cp:revision>
  <dcterms:created xsi:type="dcterms:W3CDTF">2017-08-30T17:35:00Z</dcterms:created>
  <dcterms:modified xsi:type="dcterms:W3CDTF">2017-08-30T17:35:00Z</dcterms:modified>
</cp:coreProperties>
</file>