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51391A13" w:rsidR="00062F4C" w:rsidRPr="006B3453" w:rsidRDefault="00062F4C" w:rsidP="00D04B9A">
      <w:pPr>
        <w:pStyle w:val="Title"/>
        <w:rPr>
          <w:sz w:val="48"/>
        </w:rPr>
      </w:pPr>
      <w:r w:rsidRPr="006B3453">
        <w:rPr>
          <w:sz w:val="48"/>
        </w:rPr>
        <w:t xml:space="preserve">Topic </w:t>
      </w:r>
      <w:r w:rsidR="003B5E57">
        <w:rPr>
          <w:sz w:val="48"/>
        </w:rPr>
        <w:t>2.iii</w:t>
      </w:r>
      <w:r w:rsidR="00E00E30">
        <w:rPr>
          <w:sz w:val="48"/>
        </w:rPr>
        <w:t>-</w:t>
      </w:r>
      <w:r w:rsidR="003B5E57">
        <w:rPr>
          <w:sz w:val="48"/>
        </w:rPr>
        <w:t>VAR Profiles</w:t>
      </w:r>
      <w:r w:rsidRPr="006B3453">
        <w:rPr>
          <w:sz w:val="48"/>
        </w:rPr>
        <w:t xml:space="preserve">: </w:t>
      </w:r>
      <w:r w:rsidR="003B5E57">
        <w:rPr>
          <w:sz w:val="48"/>
        </w:rPr>
        <w:t>Improve spreadsheet tool by allowing hourly VAR profiles to be input</w:t>
      </w:r>
    </w:p>
    <w:p w14:paraId="7D43CA11" w14:textId="6DF235BE" w:rsidR="00062F4C" w:rsidRDefault="00062F4C" w:rsidP="00D04B9A">
      <w:pPr>
        <w:pStyle w:val="Subtitle"/>
        <w:spacing w:after="0"/>
      </w:pPr>
      <w:r>
        <w:t xml:space="preserve">Joint IOUs’ Initial Proposal </w:t>
      </w:r>
    </w:p>
    <w:p w14:paraId="4F879491" w14:textId="77777777" w:rsidR="00D04B9A" w:rsidRDefault="00D04B9A" w:rsidP="00D04B9A">
      <w:pPr>
        <w:pStyle w:val="Subtitle"/>
        <w:spacing w:after="0"/>
      </w:pPr>
      <w:r>
        <w:t>LNBA Working Group</w:t>
      </w:r>
    </w:p>
    <w:p w14:paraId="0E916A7B" w14:textId="77777777" w:rsidR="00D04B9A" w:rsidRDefault="00D04B9A" w:rsidP="00D04B9A">
      <w:pPr>
        <w:spacing w:after="0"/>
      </w:pPr>
    </w:p>
    <w:p w14:paraId="5A6EF65C" w14:textId="77777777" w:rsidR="00062F4C" w:rsidRDefault="00062F4C" w:rsidP="00D04B9A">
      <w:pPr>
        <w:spacing w:after="0"/>
      </w:pPr>
    </w:p>
    <w:p w14:paraId="6DEE1E41" w14:textId="54D6780E" w:rsidR="00062F4C" w:rsidRDefault="00062F4C" w:rsidP="00D04B9A">
      <w:pPr>
        <w:pStyle w:val="Heading1"/>
        <w:spacing w:before="0"/>
      </w:pPr>
      <w:r>
        <w:t xml:space="preserve">Summary of </w:t>
      </w:r>
      <w:r w:rsidR="0026768F">
        <w:t>Proposal</w:t>
      </w:r>
    </w:p>
    <w:p w14:paraId="21DE4D37" w14:textId="68C9BC8E" w:rsidR="0026768F" w:rsidRDefault="003B5E57" w:rsidP="001E426F">
      <w:pPr>
        <w:pStyle w:val="ListParagraph"/>
        <w:numPr>
          <w:ilvl w:val="0"/>
          <w:numId w:val="5"/>
        </w:numPr>
        <w:spacing w:after="0"/>
      </w:pPr>
      <w:r>
        <w:t>The Joint IOUs (SCE, SDG&amp;E, and PG&amp;E) propose to collapse item 2.iii (VAR profiles) under item B (location-specific smart inverter capabilities)</w:t>
      </w:r>
    </w:p>
    <w:p w14:paraId="4501954E" w14:textId="422DA497" w:rsidR="003B5E57" w:rsidRDefault="003B5E57" w:rsidP="001E426F">
      <w:pPr>
        <w:pStyle w:val="ListParagraph"/>
        <w:numPr>
          <w:ilvl w:val="0"/>
          <w:numId w:val="5"/>
        </w:numPr>
        <w:spacing w:after="0"/>
      </w:pPr>
      <w:r>
        <w:t>The IOUs propose additions to the LNBA tool to enable both users to input a DER VAR profile as well as a VAR requirements profile to validate that the DER VAR profile meets the requirements to defer a voltage project</w:t>
      </w:r>
    </w:p>
    <w:p w14:paraId="22F3E13B" w14:textId="77777777" w:rsidR="00EC57A5" w:rsidRDefault="00EC57A5" w:rsidP="00EC57A5">
      <w:pPr>
        <w:spacing w:after="0"/>
      </w:pPr>
    </w:p>
    <w:p w14:paraId="5111153D" w14:textId="77777777" w:rsidR="00062F4C" w:rsidRDefault="00062F4C" w:rsidP="00D04B9A">
      <w:pPr>
        <w:pStyle w:val="Heading1"/>
        <w:spacing w:before="0"/>
      </w:pPr>
      <w:r>
        <w:t>Introduction and Background</w:t>
      </w:r>
    </w:p>
    <w:p w14:paraId="450F9E52" w14:textId="77777777" w:rsidR="00CF22DB" w:rsidRDefault="00CF22DB" w:rsidP="00CF22DB">
      <w:pPr>
        <w:pStyle w:val="ListParagraph"/>
        <w:numPr>
          <w:ilvl w:val="0"/>
          <w:numId w:val="6"/>
        </w:numPr>
        <w:spacing w:after="0"/>
      </w:pPr>
      <w:r>
        <w:t>Voltage support investments – generally capacitors or voltage regulators – are made on the distribution system where needed to maintain the voltage within Rule 2 requirements.</w:t>
      </w:r>
    </w:p>
    <w:p w14:paraId="3E128831" w14:textId="12AB7806" w:rsidR="00CF22DB" w:rsidRDefault="00CF22DB" w:rsidP="00CF22DB">
      <w:pPr>
        <w:pStyle w:val="ListParagraph"/>
        <w:numPr>
          <w:ilvl w:val="0"/>
          <w:numId w:val="6"/>
        </w:numPr>
        <w:spacing w:after="0"/>
      </w:pPr>
      <w:r>
        <w:t>In order to defer a voltage project, a DER must be able to bring the voltage on the relevant distribution line section within Rule 2 requirements. This can be done by managing real power alone (e.g. using energy efficiency to help boost voltage) or using smart inverters to provide both real and reactive power support.</w:t>
      </w:r>
    </w:p>
    <w:p w14:paraId="4104C6D3" w14:textId="77777777" w:rsidR="00847476" w:rsidRDefault="00847476" w:rsidP="00847476">
      <w:pPr>
        <w:pStyle w:val="ListParagraph"/>
        <w:spacing w:after="0"/>
        <w:ind w:left="360"/>
      </w:pPr>
    </w:p>
    <w:p w14:paraId="672C16D4" w14:textId="11E04D2A" w:rsidR="00085335" w:rsidRDefault="00085335" w:rsidP="00085335">
      <w:pPr>
        <w:pStyle w:val="Heading1"/>
        <w:spacing w:before="0"/>
      </w:pPr>
      <w:r>
        <w:t>Discussion</w:t>
      </w:r>
    </w:p>
    <w:p w14:paraId="6ED45672" w14:textId="77777777" w:rsidR="00847476" w:rsidRDefault="00847476" w:rsidP="003B5E57">
      <w:pPr>
        <w:pStyle w:val="ListParagraph"/>
        <w:numPr>
          <w:ilvl w:val="0"/>
          <w:numId w:val="6"/>
        </w:numPr>
        <w:spacing w:after="0"/>
      </w:pPr>
      <w:r>
        <w:t>The Joint IOUs (SCE, SDG&amp;E, and PG&amp;E) propose to collapse item 2.iii (VAR profiles) under item B (location-specific smart inverter capabilities).</w:t>
      </w:r>
    </w:p>
    <w:p w14:paraId="630537AB" w14:textId="77777777" w:rsidR="00847476" w:rsidRDefault="00847476" w:rsidP="007118F2">
      <w:pPr>
        <w:pStyle w:val="ListParagraph"/>
        <w:numPr>
          <w:ilvl w:val="1"/>
          <w:numId w:val="6"/>
        </w:numPr>
        <w:spacing w:after="0"/>
      </w:pPr>
      <w:r>
        <w:t>In general, a smart inverter is needed for a DER to provide reactive power; hence it makes sense to consider adding DERs’ reactive power (VAR) capabilities to the LNBA tool as a subset of item B</w:t>
      </w:r>
    </w:p>
    <w:p w14:paraId="5A357675" w14:textId="77777777" w:rsidR="00847476" w:rsidRDefault="00847476" w:rsidP="007118F2">
      <w:pPr>
        <w:pStyle w:val="ListParagraph"/>
        <w:numPr>
          <w:ilvl w:val="1"/>
          <w:numId w:val="6"/>
        </w:numPr>
        <w:spacing w:after="0"/>
      </w:pPr>
      <w:r>
        <w:t>Additional smart inverter capabilities will be addressed after VAR profiles, since item 2.iii is a “priority item” while item B is not.</w:t>
      </w:r>
    </w:p>
    <w:p w14:paraId="2711BCA5" w14:textId="50811AC8" w:rsidR="00044A11" w:rsidRDefault="00847476" w:rsidP="00847476">
      <w:pPr>
        <w:pStyle w:val="ListParagraph"/>
        <w:numPr>
          <w:ilvl w:val="1"/>
          <w:numId w:val="6"/>
        </w:numPr>
        <w:spacing w:after="0"/>
      </w:pPr>
      <w:r>
        <w:t>When this proposal was discussed during the 7/15 and 8/15 WG meetings, WG participants expressed support for this suggestion; no WG member expressed opposition.</w:t>
      </w:r>
    </w:p>
    <w:p w14:paraId="03ED488C" w14:textId="77777777" w:rsidR="00847476" w:rsidRDefault="00847476" w:rsidP="00847476">
      <w:pPr>
        <w:pStyle w:val="ListParagraph"/>
        <w:spacing w:after="0"/>
        <w:ind w:left="792"/>
      </w:pPr>
    </w:p>
    <w:p w14:paraId="400DC907" w14:textId="50B58535" w:rsidR="00062F4C" w:rsidRDefault="00EC57A5" w:rsidP="00D04B9A">
      <w:pPr>
        <w:pStyle w:val="Heading1"/>
        <w:spacing w:before="0"/>
      </w:pPr>
      <w:r>
        <w:t>Proposal</w:t>
      </w:r>
    </w:p>
    <w:p w14:paraId="6148814D" w14:textId="6A9CA4FC" w:rsidR="001E426F" w:rsidRPr="00E52920" w:rsidRDefault="005F6102" w:rsidP="00E52920">
      <w:pPr>
        <w:pStyle w:val="ListParagraph"/>
        <w:numPr>
          <w:ilvl w:val="0"/>
          <w:numId w:val="8"/>
        </w:numPr>
        <w:spacing w:after="0"/>
        <w:rPr>
          <w:b/>
        </w:rPr>
      </w:pPr>
      <w:r>
        <w:rPr>
          <w:b/>
        </w:rPr>
        <w:t>Modify the LNBA Tool to accept a DER VAR Profile</w:t>
      </w:r>
      <w:r w:rsidR="001E426F" w:rsidRPr="00E52920">
        <w:rPr>
          <w:b/>
        </w:rPr>
        <w:t xml:space="preserve"> </w:t>
      </w:r>
    </w:p>
    <w:p w14:paraId="25611802" w14:textId="2C9A3027" w:rsidR="0001417A" w:rsidRDefault="005F6102" w:rsidP="005F6102">
      <w:pPr>
        <w:pStyle w:val="ListParagraph"/>
        <w:numPr>
          <w:ilvl w:val="1"/>
          <w:numId w:val="8"/>
        </w:numPr>
        <w:spacing w:after="0"/>
      </w:pPr>
      <w:r>
        <w:lastRenderedPageBreak/>
        <w:t>This modification simply involves adding an hourly VAR profile along with the current hourly active power (kW) input. This is mocked up below.</w:t>
      </w:r>
      <w:r w:rsidRPr="005F6102">
        <w:rPr>
          <w:noProof/>
        </w:rPr>
        <w:drawing>
          <wp:inline distT="0" distB="0" distL="0" distR="0" wp14:anchorId="41D18271" wp14:editId="13259BEB">
            <wp:extent cx="4591696" cy="2562225"/>
            <wp:effectExtent l="0" t="0" r="0" b="0"/>
            <wp:docPr id="1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b="38347"/>
                    <a:stretch/>
                  </pic:blipFill>
                  <pic:spPr bwMode="auto">
                    <a:xfrm>
                      <a:off x="0" y="0"/>
                      <a:ext cx="4594335" cy="2563698"/>
                    </a:xfrm>
                    <a:prstGeom prst="rect">
                      <a:avLst/>
                    </a:prstGeom>
                    <a:noFill/>
                    <a:ln>
                      <a:noFill/>
                    </a:ln>
                    <a:effectLst/>
                    <a:extLst/>
                  </pic:spPr>
                </pic:pic>
              </a:graphicData>
            </a:graphic>
          </wp:inline>
        </w:drawing>
      </w:r>
    </w:p>
    <w:p w14:paraId="66576AFE" w14:textId="790C3599" w:rsidR="00AF0897" w:rsidRDefault="005F6102" w:rsidP="0001417A">
      <w:pPr>
        <w:spacing w:after="0"/>
      </w:pPr>
      <w:r>
        <w:t>Fig 1.</w:t>
      </w:r>
    </w:p>
    <w:p w14:paraId="18E2C099" w14:textId="77777777" w:rsidR="0001417A" w:rsidRPr="00E52920" w:rsidRDefault="0001417A" w:rsidP="0001417A">
      <w:pPr>
        <w:spacing w:after="0"/>
      </w:pPr>
    </w:p>
    <w:p w14:paraId="4EE3FD54" w14:textId="0FBCFA49" w:rsidR="00E52920" w:rsidRDefault="005F6102" w:rsidP="00E52920">
      <w:pPr>
        <w:pStyle w:val="ListParagraph"/>
        <w:numPr>
          <w:ilvl w:val="0"/>
          <w:numId w:val="8"/>
        </w:numPr>
        <w:spacing w:after="0"/>
        <w:rPr>
          <w:b/>
        </w:rPr>
      </w:pPr>
      <w:r>
        <w:rPr>
          <w:b/>
        </w:rPr>
        <w:t>Modify the LNBA Tool to accept a VAR Requirements Profile</w:t>
      </w:r>
    </w:p>
    <w:p w14:paraId="39D87102" w14:textId="7561CCCD" w:rsidR="00106A51" w:rsidRDefault="00106A51" w:rsidP="00E52920">
      <w:pPr>
        <w:pStyle w:val="ListParagraph"/>
        <w:numPr>
          <w:ilvl w:val="1"/>
          <w:numId w:val="8"/>
        </w:numPr>
        <w:spacing w:after="0"/>
      </w:pPr>
      <w:r>
        <w:t xml:space="preserve">As with the real power requirements </w:t>
      </w:r>
      <w:r w:rsidR="00A0396C">
        <w:t>for reducing load to mitigate a thermal constraint and defer a capacity upgrade, a VAR requirement profile is needed for deferring voltage projects.</w:t>
      </w:r>
    </w:p>
    <w:p w14:paraId="43FACAB6" w14:textId="465820B3" w:rsidR="00A0396C" w:rsidRDefault="00A0396C" w:rsidP="00E52920">
      <w:pPr>
        <w:pStyle w:val="ListParagraph"/>
        <w:numPr>
          <w:ilvl w:val="1"/>
          <w:numId w:val="8"/>
        </w:numPr>
        <w:spacing w:after="0"/>
      </w:pPr>
      <w:r>
        <w:t>The tool must simply be modified to accept a VAR requirements profile and to validate that the DER VAR profile input meets or exceeds this requirement profile, again analogous to real power for capacity project deferrals. This modification is mocked up below.</w:t>
      </w:r>
    </w:p>
    <w:p w14:paraId="26D86A5E" w14:textId="7DF3F4F9" w:rsidR="00E84E02" w:rsidRDefault="00D31256" w:rsidP="00E84E02">
      <w:pPr>
        <w:pStyle w:val="ListParagraph"/>
        <w:spacing w:after="0"/>
        <w:ind w:left="0"/>
      </w:pPr>
      <w:r w:rsidRPr="00E84E02">
        <w:rPr>
          <w:noProof/>
        </w:rPr>
        <w:drawing>
          <wp:anchor distT="0" distB="0" distL="114300" distR="114300" simplePos="0" relativeHeight="251659264" behindDoc="0" locked="0" layoutInCell="1" allowOverlap="1" wp14:anchorId="2E50484C" wp14:editId="6F81DB44">
            <wp:simplePos x="0" y="0"/>
            <wp:positionH relativeFrom="column">
              <wp:posOffset>-171450</wp:posOffset>
            </wp:positionH>
            <wp:positionV relativeFrom="paragraph">
              <wp:posOffset>104775</wp:posOffset>
            </wp:positionV>
            <wp:extent cx="5648325" cy="2067560"/>
            <wp:effectExtent l="19050" t="19050" r="28575" b="27940"/>
            <wp:wrapNone/>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8325" cy="2067560"/>
                    </a:xfrm>
                    <a:prstGeom prst="rect">
                      <a:avLst/>
                    </a:prstGeom>
                    <a:noFill/>
                    <a:ln w="12700">
                      <a:solidFill>
                        <a:schemeClr val="tx1"/>
                      </a:solidFill>
                      <a:miter lim="800000"/>
                      <a:headEnd/>
                      <a:tailEnd/>
                    </a:ln>
                    <a:effectLst/>
                    <a:extLst/>
                  </pic:spPr>
                </pic:pic>
              </a:graphicData>
            </a:graphic>
            <wp14:sizeRelH relativeFrom="margin">
              <wp14:pctWidth>0</wp14:pctWidth>
            </wp14:sizeRelH>
            <wp14:sizeRelV relativeFrom="margin">
              <wp14:pctHeight>0</wp14:pctHeight>
            </wp14:sizeRelV>
          </wp:anchor>
        </w:drawing>
      </w:r>
    </w:p>
    <w:p w14:paraId="57756E51" w14:textId="77777777" w:rsidR="00E84E02" w:rsidRDefault="00E84E02" w:rsidP="00E84E02">
      <w:pPr>
        <w:pStyle w:val="ListParagraph"/>
        <w:spacing w:after="0"/>
        <w:ind w:left="0"/>
      </w:pPr>
    </w:p>
    <w:p w14:paraId="0FB5E592" w14:textId="1309DF88" w:rsidR="00E84E02" w:rsidRDefault="00D31256" w:rsidP="00E84E02">
      <w:pPr>
        <w:pStyle w:val="ListParagraph"/>
        <w:spacing w:after="0"/>
        <w:ind w:left="0"/>
      </w:pPr>
      <w:r w:rsidRPr="00E84E02">
        <w:rPr>
          <w:noProof/>
        </w:rPr>
        <w:drawing>
          <wp:anchor distT="0" distB="0" distL="114300" distR="114300" simplePos="0" relativeHeight="251660288" behindDoc="0" locked="0" layoutInCell="1" allowOverlap="1" wp14:anchorId="65086B82" wp14:editId="63C5C12D">
            <wp:simplePos x="0" y="0"/>
            <wp:positionH relativeFrom="column">
              <wp:posOffset>381000</wp:posOffset>
            </wp:positionH>
            <wp:positionV relativeFrom="paragraph">
              <wp:posOffset>107950</wp:posOffset>
            </wp:positionV>
            <wp:extent cx="5648325" cy="2067560"/>
            <wp:effectExtent l="19050" t="19050" r="28575" b="27940"/>
            <wp:wrapNone/>
            <wp:docPr id="2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48325" cy="2067560"/>
                    </a:xfrm>
                    <a:prstGeom prst="rect">
                      <a:avLst/>
                    </a:prstGeom>
                    <a:solidFill>
                      <a:schemeClr val="bg1"/>
                    </a:solidFill>
                    <a:ln w="12700">
                      <a:solidFill>
                        <a:schemeClr val="tx1"/>
                      </a:solidFill>
                    </a:ln>
                    <a:effectLst/>
                  </pic:spPr>
                </pic:pic>
              </a:graphicData>
            </a:graphic>
            <wp14:sizeRelH relativeFrom="margin">
              <wp14:pctWidth>0</wp14:pctWidth>
            </wp14:sizeRelH>
            <wp14:sizeRelV relativeFrom="margin">
              <wp14:pctHeight>0</wp14:pctHeight>
            </wp14:sizeRelV>
          </wp:anchor>
        </w:drawing>
      </w:r>
    </w:p>
    <w:p w14:paraId="5034BA46" w14:textId="77777777" w:rsidR="00E84E02" w:rsidRDefault="00E84E02" w:rsidP="00E84E02">
      <w:pPr>
        <w:pStyle w:val="ListParagraph"/>
        <w:spacing w:after="0"/>
        <w:ind w:left="0"/>
      </w:pPr>
    </w:p>
    <w:p w14:paraId="11DAFE07" w14:textId="77777777" w:rsidR="00E84E02" w:rsidRDefault="00E84E02" w:rsidP="00E84E02">
      <w:pPr>
        <w:pStyle w:val="ListParagraph"/>
        <w:spacing w:after="0"/>
        <w:ind w:left="0"/>
      </w:pPr>
    </w:p>
    <w:p w14:paraId="195009EB" w14:textId="77777777" w:rsidR="00E84E02" w:rsidRDefault="00E84E02" w:rsidP="00E84E02">
      <w:pPr>
        <w:pStyle w:val="ListParagraph"/>
        <w:spacing w:after="0"/>
        <w:ind w:left="0"/>
      </w:pPr>
    </w:p>
    <w:p w14:paraId="2E9938C4" w14:textId="77777777" w:rsidR="00E84E02" w:rsidRDefault="00E84E02" w:rsidP="00E84E02">
      <w:pPr>
        <w:pStyle w:val="ListParagraph"/>
        <w:spacing w:after="0"/>
        <w:ind w:left="0"/>
      </w:pPr>
    </w:p>
    <w:p w14:paraId="4F15EEEB" w14:textId="77777777" w:rsidR="00E84E02" w:rsidRDefault="00E84E02" w:rsidP="00E84E02">
      <w:pPr>
        <w:pStyle w:val="ListParagraph"/>
        <w:spacing w:after="0"/>
        <w:ind w:left="0"/>
      </w:pPr>
    </w:p>
    <w:p w14:paraId="177B90E1" w14:textId="77777777" w:rsidR="00E84E02" w:rsidRDefault="00E84E02" w:rsidP="00E84E02">
      <w:pPr>
        <w:pStyle w:val="ListParagraph"/>
        <w:spacing w:after="0"/>
        <w:ind w:left="0"/>
      </w:pPr>
    </w:p>
    <w:p w14:paraId="7A71C39A" w14:textId="77777777" w:rsidR="00E84E02" w:rsidRDefault="00E84E02" w:rsidP="00E84E02">
      <w:pPr>
        <w:pStyle w:val="ListParagraph"/>
        <w:spacing w:after="0"/>
        <w:ind w:left="0"/>
      </w:pPr>
    </w:p>
    <w:p w14:paraId="7969F02A" w14:textId="77777777" w:rsidR="00E84E02" w:rsidRDefault="00E84E02" w:rsidP="00E84E02">
      <w:pPr>
        <w:pStyle w:val="ListParagraph"/>
        <w:spacing w:after="0"/>
        <w:ind w:left="0"/>
      </w:pPr>
    </w:p>
    <w:p w14:paraId="702F79F5" w14:textId="77777777" w:rsidR="00E84E02" w:rsidRDefault="00E84E02" w:rsidP="00E84E02">
      <w:pPr>
        <w:pStyle w:val="ListParagraph"/>
        <w:spacing w:after="0"/>
        <w:ind w:left="0"/>
      </w:pPr>
    </w:p>
    <w:p w14:paraId="6866B233" w14:textId="77777777" w:rsidR="00E84E02" w:rsidRDefault="00E84E02" w:rsidP="00E84E02">
      <w:pPr>
        <w:pStyle w:val="ListParagraph"/>
        <w:spacing w:after="0"/>
        <w:ind w:left="0"/>
      </w:pPr>
    </w:p>
    <w:p w14:paraId="0ACAC5AD" w14:textId="2A95D88B" w:rsidR="00AF0897" w:rsidRPr="00A914F2" w:rsidRDefault="00AF0897" w:rsidP="00E84E02">
      <w:pPr>
        <w:pStyle w:val="ListParagraph"/>
        <w:spacing w:after="0"/>
        <w:ind w:left="0"/>
      </w:pPr>
    </w:p>
    <w:p w14:paraId="348FAF2F" w14:textId="47237A1D" w:rsidR="00062F4C" w:rsidRDefault="00E84E02" w:rsidP="00D04B9A">
      <w:pPr>
        <w:pStyle w:val="ListParagraph"/>
        <w:spacing w:after="0"/>
        <w:ind w:left="768"/>
      </w:pPr>
      <w:r>
        <w:t>Fig 2.</w:t>
      </w:r>
    </w:p>
    <w:p w14:paraId="3490D6C1" w14:textId="77777777" w:rsidR="00D31256" w:rsidRDefault="00D31256" w:rsidP="00D04B9A">
      <w:pPr>
        <w:pStyle w:val="ListParagraph"/>
        <w:spacing w:after="0"/>
        <w:ind w:left="768"/>
      </w:pPr>
    </w:p>
    <w:p w14:paraId="07407418" w14:textId="77777777" w:rsidR="00062F4C" w:rsidRDefault="00062F4C" w:rsidP="00D04B9A">
      <w:pPr>
        <w:pStyle w:val="Heading1"/>
        <w:spacing w:before="0"/>
      </w:pPr>
      <w:r>
        <w:t>Conclusion and Next Steps</w:t>
      </w:r>
    </w:p>
    <w:p w14:paraId="08A0942A" w14:textId="77777777" w:rsidR="00CF3D21" w:rsidRDefault="00CF3D21" w:rsidP="00847476">
      <w:pPr>
        <w:pStyle w:val="ListParagraph"/>
        <w:numPr>
          <w:ilvl w:val="0"/>
          <w:numId w:val="9"/>
        </w:numPr>
        <w:spacing w:after="0"/>
      </w:pPr>
      <w:r>
        <w:t>The IOUs must develop a methodology for calculating the hourly VAR requirement profile.</w:t>
      </w:r>
    </w:p>
    <w:p w14:paraId="079FE5EA" w14:textId="77777777" w:rsidR="00CF3D21" w:rsidRDefault="00CF3D21" w:rsidP="00CF3D21">
      <w:pPr>
        <w:pStyle w:val="ListParagraph"/>
        <w:numPr>
          <w:ilvl w:val="1"/>
          <w:numId w:val="9"/>
        </w:numPr>
        <w:spacing w:after="0"/>
      </w:pPr>
      <w:r>
        <w:t>The IOUs don’t currently have all the tools required to do this, though they’re currently in development as part of the ICA work</w:t>
      </w:r>
    </w:p>
    <w:p w14:paraId="789A4BC8" w14:textId="77777777" w:rsidR="00CF3D21" w:rsidRDefault="00CF3D21" w:rsidP="00CF3D21">
      <w:pPr>
        <w:pStyle w:val="ListParagraph"/>
        <w:numPr>
          <w:ilvl w:val="1"/>
          <w:numId w:val="9"/>
        </w:numPr>
        <w:spacing w:after="0"/>
      </w:pPr>
      <w:r>
        <w:lastRenderedPageBreak/>
        <w:t>At the same time, Rule 21 rules are currently in flux regarding reactive power requirements and power factor limits which would also influence the development of VAR profiles.</w:t>
      </w:r>
    </w:p>
    <w:p w14:paraId="1AD0F826" w14:textId="4EECD553" w:rsidR="00A914F2" w:rsidRDefault="00CF3D21" w:rsidP="00CF3D21">
      <w:pPr>
        <w:pStyle w:val="ListParagraph"/>
        <w:numPr>
          <w:ilvl w:val="1"/>
          <w:numId w:val="9"/>
        </w:numPr>
        <w:spacing w:after="0"/>
      </w:pPr>
      <w:r>
        <w:t xml:space="preserve">DERs will always have both a real and reactive power contribution, and both real and reactive power have an impact on </w:t>
      </w:r>
      <w:r w:rsidR="008A5CEA">
        <w:t xml:space="preserve">voltage. Hence assumptions for </w:t>
      </w:r>
      <w:bookmarkStart w:id="0" w:name="_GoBack"/>
      <w:bookmarkEnd w:id="0"/>
      <w:r>
        <w:t>DERs’ power factor are needed, and these will be impacted by Rule 21 requirements currently being considered</w:t>
      </w:r>
      <w:r w:rsidR="0071724F">
        <w:t>.</w:t>
      </w:r>
    </w:p>
    <w:p w14:paraId="175ABFD7" w14:textId="0F7E4631" w:rsidR="00CF3D21" w:rsidRPr="00A914F2" w:rsidRDefault="00CF3D21" w:rsidP="00CF3D21">
      <w:pPr>
        <w:pStyle w:val="ListParagraph"/>
        <w:numPr>
          <w:ilvl w:val="0"/>
          <w:numId w:val="9"/>
        </w:numPr>
        <w:spacing w:after="0"/>
      </w:pPr>
      <w:r>
        <w:t>Subsequent discussions will address additional smart inverter capabilities related to other grid services (e.g. CVR and situational awareness).</w:t>
      </w:r>
    </w:p>
    <w:p w14:paraId="54EF6EC0" w14:textId="77777777" w:rsidR="00E00E30" w:rsidRDefault="00E00E30" w:rsidP="00A914F2">
      <w:pPr>
        <w:pStyle w:val="ListParagraph"/>
        <w:spacing w:after="0"/>
      </w:pPr>
    </w:p>
    <w:sectPr w:rsidR="00E00E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7DC2AC" w14:textId="77777777" w:rsidR="00CE08A2" w:rsidRDefault="00CE08A2" w:rsidP="005A228A">
      <w:pPr>
        <w:spacing w:after="0" w:line="240" w:lineRule="auto"/>
      </w:pPr>
      <w:r>
        <w:separator/>
      </w:r>
    </w:p>
  </w:endnote>
  <w:endnote w:type="continuationSeparator" w:id="0">
    <w:p w14:paraId="128325BF" w14:textId="77777777" w:rsidR="00CE08A2" w:rsidRDefault="00CE08A2" w:rsidP="005A2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D1CAC2" w14:textId="77777777" w:rsidR="00CE08A2" w:rsidRDefault="00CE08A2" w:rsidP="005A228A">
      <w:pPr>
        <w:spacing w:after="0" w:line="240" w:lineRule="auto"/>
      </w:pPr>
      <w:r>
        <w:separator/>
      </w:r>
    </w:p>
  </w:footnote>
  <w:footnote w:type="continuationSeparator" w:id="0">
    <w:p w14:paraId="62124A45" w14:textId="77777777" w:rsidR="00CE08A2" w:rsidRDefault="00CE08A2" w:rsidP="005A22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E40F8"/>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3" w15:restartNumberingAfterBreak="0">
    <w:nsid w:val="335A301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CF40E60"/>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CB0C6A"/>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6E6205BC"/>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2"/>
  </w:num>
  <w:num w:numId="3">
    <w:abstractNumId w:val="4"/>
  </w:num>
  <w:num w:numId="4">
    <w:abstractNumId w:val="6"/>
  </w:num>
  <w:num w:numId="5">
    <w:abstractNumId w:val="3"/>
  </w:num>
  <w:num w:numId="6">
    <w:abstractNumId w:val="5"/>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078BC"/>
    <w:rsid w:val="0001417A"/>
    <w:rsid w:val="00044A11"/>
    <w:rsid w:val="00062F4C"/>
    <w:rsid w:val="00074EA1"/>
    <w:rsid w:val="00085335"/>
    <w:rsid w:val="00094281"/>
    <w:rsid w:val="000B0E8A"/>
    <w:rsid w:val="00106A51"/>
    <w:rsid w:val="00137A46"/>
    <w:rsid w:val="00165AD7"/>
    <w:rsid w:val="00174199"/>
    <w:rsid w:val="001761AF"/>
    <w:rsid w:val="001B6998"/>
    <w:rsid w:val="001D191B"/>
    <w:rsid w:val="001E426F"/>
    <w:rsid w:val="001E6EAE"/>
    <w:rsid w:val="0026134F"/>
    <w:rsid w:val="0026768F"/>
    <w:rsid w:val="002C43D8"/>
    <w:rsid w:val="0031068E"/>
    <w:rsid w:val="00314E76"/>
    <w:rsid w:val="0037263B"/>
    <w:rsid w:val="00383277"/>
    <w:rsid w:val="003A0E16"/>
    <w:rsid w:val="003A2AFB"/>
    <w:rsid w:val="003B5E57"/>
    <w:rsid w:val="003D41DC"/>
    <w:rsid w:val="003F70F3"/>
    <w:rsid w:val="0046692D"/>
    <w:rsid w:val="00477FB8"/>
    <w:rsid w:val="00544CA4"/>
    <w:rsid w:val="0057298B"/>
    <w:rsid w:val="005909F1"/>
    <w:rsid w:val="005A228A"/>
    <w:rsid w:val="005F4744"/>
    <w:rsid w:val="005F6102"/>
    <w:rsid w:val="006000D8"/>
    <w:rsid w:val="006260A6"/>
    <w:rsid w:val="006B3453"/>
    <w:rsid w:val="007118F2"/>
    <w:rsid w:val="0071724F"/>
    <w:rsid w:val="007C00C9"/>
    <w:rsid w:val="007C45EA"/>
    <w:rsid w:val="007D08F5"/>
    <w:rsid w:val="00804420"/>
    <w:rsid w:val="00847476"/>
    <w:rsid w:val="008A5CEA"/>
    <w:rsid w:val="008D576B"/>
    <w:rsid w:val="008E1652"/>
    <w:rsid w:val="009C0A84"/>
    <w:rsid w:val="00A0396C"/>
    <w:rsid w:val="00A06354"/>
    <w:rsid w:val="00A165D4"/>
    <w:rsid w:val="00A90AC9"/>
    <w:rsid w:val="00A914F2"/>
    <w:rsid w:val="00AA0E02"/>
    <w:rsid w:val="00AB3939"/>
    <w:rsid w:val="00AC00D6"/>
    <w:rsid w:val="00AF0897"/>
    <w:rsid w:val="00B11494"/>
    <w:rsid w:val="00B46EE7"/>
    <w:rsid w:val="00B54961"/>
    <w:rsid w:val="00B979A0"/>
    <w:rsid w:val="00BE3475"/>
    <w:rsid w:val="00BE72F5"/>
    <w:rsid w:val="00C02F07"/>
    <w:rsid w:val="00C105A6"/>
    <w:rsid w:val="00C12A1C"/>
    <w:rsid w:val="00C14652"/>
    <w:rsid w:val="00C5565C"/>
    <w:rsid w:val="00CA71AF"/>
    <w:rsid w:val="00CE08A2"/>
    <w:rsid w:val="00CE39C5"/>
    <w:rsid w:val="00CF22DB"/>
    <w:rsid w:val="00CF3D21"/>
    <w:rsid w:val="00D04B9A"/>
    <w:rsid w:val="00D31256"/>
    <w:rsid w:val="00D40D9A"/>
    <w:rsid w:val="00D46D88"/>
    <w:rsid w:val="00D636D8"/>
    <w:rsid w:val="00D9146A"/>
    <w:rsid w:val="00DA043F"/>
    <w:rsid w:val="00DF6BEC"/>
    <w:rsid w:val="00E00E30"/>
    <w:rsid w:val="00E202ED"/>
    <w:rsid w:val="00E52920"/>
    <w:rsid w:val="00E5457F"/>
    <w:rsid w:val="00E84E02"/>
    <w:rsid w:val="00EB512F"/>
    <w:rsid w:val="00EC57A5"/>
    <w:rsid w:val="00F01ECF"/>
    <w:rsid w:val="00F20D03"/>
    <w:rsid w:val="00F6426B"/>
    <w:rsid w:val="00FA4A8D"/>
    <w:rsid w:val="00FF4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DC1415CF-A8FE-40FD-B535-425B30062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Hyperlink">
    <w:name w:val="Hyperlink"/>
    <w:basedOn w:val="DefaultParagraphFont"/>
    <w:uiPriority w:val="99"/>
    <w:unhideWhenUsed/>
    <w:rsid w:val="001D191B"/>
    <w:rPr>
      <w:color w:val="0563C1" w:themeColor="hyperlink"/>
      <w:u w:val="single"/>
    </w:rPr>
  </w:style>
  <w:style w:type="character" w:styleId="FollowedHyperlink">
    <w:name w:val="FollowedHyperlink"/>
    <w:basedOn w:val="DefaultParagraphFont"/>
    <w:uiPriority w:val="99"/>
    <w:semiHidden/>
    <w:unhideWhenUsed/>
    <w:rsid w:val="00E00E30"/>
    <w:rPr>
      <w:color w:val="954F72" w:themeColor="followedHyperlink"/>
      <w:u w:val="single"/>
    </w:rPr>
  </w:style>
  <w:style w:type="paragraph" w:styleId="FootnoteText">
    <w:name w:val="footnote text"/>
    <w:basedOn w:val="Normal"/>
    <w:link w:val="FootnoteTextChar"/>
    <w:uiPriority w:val="99"/>
    <w:semiHidden/>
    <w:unhideWhenUsed/>
    <w:rsid w:val="005A22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228A"/>
    <w:rPr>
      <w:sz w:val="20"/>
      <w:szCs w:val="20"/>
    </w:rPr>
  </w:style>
  <w:style w:type="character" w:styleId="FootnoteReference">
    <w:name w:val="footnote reference"/>
    <w:basedOn w:val="DefaultParagraphFont"/>
    <w:uiPriority w:val="99"/>
    <w:semiHidden/>
    <w:unhideWhenUsed/>
    <w:rsid w:val="005A228A"/>
    <w:rPr>
      <w:vertAlign w:val="superscript"/>
    </w:rPr>
  </w:style>
  <w:style w:type="paragraph" w:styleId="BalloonText">
    <w:name w:val="Balloon Text"/>
    <w:basedOn w:val="Normal"/>
    <w:link w:val="BalloonTextChar"/>
    <w:uiPriority w:val="99"/>
    <w:semiHidden/>
    <w:unhideWhenUsed/>
    <w:rsid w:val="00EC57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7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FBBA0-6C20-47BA-8A2E-5D915C49A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TotalTime>
  <Pages>3</Pages>
  <Words>487</Words>
  <Characters>2778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3259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Maurice Ahyow</cp:lastModifiedBy>
  <cp:revision>11</cp:revision>
  <dcterms:created xsi:type="dcterms:W3CDTF">2017-08-18T04:56:00Z</dcterms:created>
  <dcterms:modified xsi:type="dcterms:W3CDTF">2017-08-18T19:30:00Z</dcterms:modified>
</cp:coreProperties>
</file>