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A9A6D7" w14:textId="77777777" w:rsidR="00A02DEA" w:rsidRPr="004F195C" w:rsidRDefault="00A02DEA">
      <w:pPr>
        <w:pStyle w:val="Title"/>
        <w:rPr>
          <w:sz w:val="48"/>
          <w:szCs w:val="48"/>
        </w:rPr>
      </w:pPr>
      <w:r w:rsidRPr="00CD3445">
        <w:rPr>
          <w:sz w:val="48"/>
          <w:szCs w:val="48"/>
        </w:rPr>
        <w:t>Item 14: Non-Capacity Related Reliability</w:t>
      </w:r>
    </w:p>
    <w:p w14:paraId="35723F6D" w14:textId="77777777" w:rsidR="00A02DEA" w:rsidRDefault="00A02DEA" w:rsidP="004F195C">
      <w:pPr>
        <w:pStyle w:val="Subtitle"/>
        <w:spacing w:after="0"/>
      </w:pPr>
      <w:r>
        <w:t xml:space="preserve">Joint IOUs’ Initial Proposal </w:t>
      </w:r>
    </w:p>
    <w:p w14:paraId="7AF810B6" w14:textId="77777777" w:rsidR="00A02DEA" w:rsidRDefault="00A02DEA" w:rsidP="004F195C">
      <w:pPr>
        <w:pStyle w:val="Subtitle"/>
        <w:spacing w:after="0"/>
      </w:pPr>
      <w:r>
        <w:t>LNBA Working Group</w:t>
      </w:r>
    </w:p>
    <w:p w14:paraId="19A60756" w14:textId="77777777" w:rsidR="00A02DEA" w:rsidRDefault="00A02DEA" w:rsidP="00A02DEA"/>
    <w:p w14:paraId="11743367" w14:textId="77777777" w:rsidR="00A02DEA" w:rsidRDefault="00A02DEA" w:rsidP="00A02DEA">
      <w:pPr>
        <w:pStyle w:val="Heading1"/>
        <w:spacing w:before="0"/>
      </w:pPr>
      <w:r>
        <w:t>Summary of Recommendations</w:t>
      </w:r>
    </w:p>
    <w:p w14:paraId="2321E27A" w14:textId="18992616" w:rsidR="00CD3445" w:rsidRDefault="00CD3445" w:rsidP="00FA01E5">
      <w:pPr>
        <w:pStyle w:val="ListParagraph"/>
        <w:numPr>
          <w:ilvl w:val="0"/>
          <w:numId w:val="6"/>
        </w:numPr>
        <w:spacing w:after="0"/>
      </w:pPr>
      <w:r>
        <w:t>The Joint IOUs recommend that non-capacity related reliability projects related to</w:t>
      </w:r>
      <w:r w:rsidR="007F2692">
        <w:t xml:space="preserve"> sensing and </w:t>
      </w:r>
      <w:r w:rsidR="00DA25C0">
        <w:t>isolat</w:t>
      </w:r>
      <w:r w:rsidR="007F2692">
        <w:t>ing</w:t>
      </w:r>
      <w:r>
        <w:t xml:space="preserve"> faults and </w:t>
      </w:r>
      <w:r w:rsidR="007F2692">
        <w:t xml:space="preserve">correcting </w:t>
      </w:r>
      <w:r>
        <w:t>standard violations not be considered deferrable by DERs</w:t>
      </w:r>
      <w:r w:rsidR="007F2692">
        <w:t xml:space="preserve"> as they do not provide this function</w:t>
      </w:r>
      <w:r>
        <w:t>.</w:t>
      </w:r>
    </w:p>
    <w:p w14:paraId="30197C8A" w14:textId="4656DF60" w:rsidR="00A02DEA" w:rsidRDefault="00CD3445" w:rsidP="00794567">
      <w:pPr>
        <w:pStyle w:val="ListParagraph"/>
        <w:numPr>
          <w:ilvl w:val="0"/>
          <w:numId w:val="6"/>
        </w:numPr>
        <w:spacing w:after="0"/>
      </w:pPr>
      <w:r>
        <w:t>N</w:t>
      </w:r>
      <w:r w:rsidR="00794567">
        <w:t xml:space="preserve">on-capacity related reliability projects include fault </w:t>
      </w:r>
      <w:r w:rsidR="0832C27E">
        <w:t xml:space="preserve">detection </w:t>
      </w:r>
      <w:r w:rsidR="00794567">
        <w:t>related projects and standards violation projects.</w:t>
      </w:r>
    </w:p>
    <w:p w14:paraId="448A326F" w14:textId="148BDF68" w:rsidR="00794567" w:rsidRDefault="00794567" w:rsidP="00FA01E5">
      <w:pPr>
        <w:pStyle w:val="ListParagraph"/>
        <w:numPr>
          <w:ilvl w:val="1"/>
          <w:numId w:val="6"/>
        </w:numPr>
        <w:spacing w:after="0"/>
      </w:pPr>
      <w:r>
        <w:t>Fault related grid services include detection,</w:t>
      </w:r>
      <w:r w:rsidR="007F2692">
        <w:t xml:space="preserve"> protection of equipment,</w:t>
      </w:r>
      <w:r>
        <w:t xml:space="preserve"> isolation,  locati</w:t>
      </w:r>
      <w:r w:rsidR="007F2692">
        <w:t>ng</w:t>
      </w:r>
      <w:r>
        <w:t xml:space="preserve"> of faults</w:t>
      </w:r>
      <w:r w:rsidR="007F2692">
        <w:t>,</w:t>
      </w:r>
      <w:r>
        <w:t xml:space="preserve"> and de-energizing of circuits</w:t>
      </w:r>
      <w:r w:rsidR="007F2692">
        <w:t xml:space="preserve"> which are critical to ensure the safety of the public.</w:t>
      </w:r>
    </w:p>
    <w:p w14:paraId="36EF37C5" w14:textId="77777777" w:rsidR="00794567" w:rsidRDefault="00794567" w:rsidP="00FA01E5">
      <w:pPr>
        <w:pStyle w:val="ListParagraph"/>
        <w:numPr>
          <w:ilvl w:val="2"/>
          <w:numId w:val="6"/>
        </w:numPr>
        <w:spacing w:after="0"/>
      </w:pPr>
      <w:r>
        <w:t>Isolating faults and de-energizing circuits require physical changes to the grid which DERs cannot provide.</w:t>
      </w:r>
    </w:p>
    <w:p w14:paraId="06B07DFE" w14:textId="7C6B5950" w:rsidR="00794567" w:rsidRDefault="00794567" w:rsidP="00FA01E5">
      <w:pPr>
        <w:pStyle w:val="ListParagraph"/>
        <w:numPr>
          <w:ilvl w:val="2"/>
          <w:numId w:val="6"/>
        </w:numPr>
        <w:spacing w:after="0"/>
      </w:pPr>
      <w:r>
        <w:t>DERs</w:t>
      </w:r>
      <w:r w:rsidR="00754B2C">
        <w:t xml:space="preserve"> can provide information related to which customers are de-energized due to a fault condition</w:t>
      </w:r>
      <w:r>
        <w:t>. However, grid equipment provides</w:t>
      </w:r>
      <w:r w:rsidR="00754B2C">
        <w:t xml:space="preserve"> both</w:t>
      </w:r>
      <w:r>
        <w:t xml:space="preserve"> the detection of faults </w:t>
      </w:r>
      <w:r w:rsidR="00754B2C">
        <w:t xml:space="preserve">and </w:t>
      </w:r>
      <w:r>
        <w:t>de-energiz</w:t>
      </w:r>
      <w:r w:rsidR="00754B2C">
        <w:t>es</w:t>
      </w:r>
      <w:r>
        <w:t xml:space="preserve"> circuits</w:t>
      </w:r>
      <w:r w:rsidR="00754B2C">
        <w:t xml:space="preserve"> to ensure the safe operation of the grid</w:t>
      </w:r>
      <w:r w:rsidR="005132EC">
        <w:t>.</w:t>
      </w:r>
      <w:r>
        <w:t xml:space="preserve"> DERs cannot meet the dual purpose nature of circuit breakers and</w:t>
      </w:r>
      <w:r w:rsidR="00754B2C">
        <w:t xml:space="preserve"> line</w:t>
      </w:r>
      <w:r>
        <w:t xml:space="preserve"> reclosers.</w:t>
      </w:r>
    </w:p>
    <w:p w14:paraId="5026EB01" w14:textId="23C1F75D" w:rsidR="00794567" w:rsidRDefault="00794567" w:rsidP="00FA01E5">
      <w:pPr>
        <w:pStyle w:val="ListParagraph"/>
        <w:numPr>
          <w:ilvl w:val="2"/>
          <w:numId w:val="6"/>
        </w:numPr>
        <w:spacing w:after="0"/>
      </w:pPr>
      <w:bookmarkStart w:id="0" w:name="_GoBack"/>
      <w:bookmarkEnd w:id="0"/>
      <w:r>
        <w:t>Fault indicators provide more locational information</w:t>
      </w:r>
      <w:r w:rsidR="00754B2C">
        <w:t xml:space="preserve"> identifying the location of the faulted equipment</w:t>
      </w:r>
      <w:r>
        <w:t xml:space="preserve"> </w:t>
      </w:r>
      <w:r w:rsidR="00754B2C">
        <w:t>which provide</w:t>
      </w:r>
      <w:r>
        <w:t xml:space="preserve"> </w:t>
      </w:r>
      <w:r w:rsidR="00754B2C">
        <w:t>faster customer restoration times</w:t>
      </w:r>
      <w:r w:rsidR="005132EC">
        <w:t>.</w:t>
      </w:r>
      <w:r w:rsidR="00754B2C">
        <w:t xml:space="preserve"> DERs are unable to provide the location of faulted distribution equipment</w:t>
      </w:r>
      <w:r>
        <w:t>.</w:t>
      </w:r>
    </w:p>
    <w:p w14:paraId="66C6A7ED" w14:textId="55D847DF" w:rsidR="00794567" w:rsidRDefault="00794567" w:rsidP="00FA01E5">
      <w:pPr>
        <w:pStyle w:val="ListParagraph"/>
        <w:numPr>
          <w:ilvl w:val="1"/>
          <w:numId w:val="6"/>
        </w:numPr>
        <w:spacing w:after="0"/>
      </w:pPr>
      <w:r>
        <w:t>Standard violation projects represent physical problems that require configuration changes to grid infrastructure. DERs cannot address the physical nature of these projects.</w:t>
      </w:r>
    </w:p>
    <w:p w14:paraId="74A485BD" w14:textId="77777777" w:rsidR="004D59C4" w:rsidRPr="006B3453" w:rsidRDefault="004D59C4" w:rsidP="00A02DEA">
      <w:pPr>
        <w:spacing w:after="0"/>
      </w:pPr>
    </w:p>
    <w:p w14:paraId="5CCB940C" w14:textId="77777777" w:rsidR="00A02DEA" w:rsidRDefault="00A02DEA" w:rsidP="00A02DEA">
      <w:pPr>
        <w:pStyle w:val="Heading1"/>
        <w:spacing w:before="0"/>
      </w:pPr>
      <w:r>
        <w:t>Introduction and Background</w:t>
      </w:r>
    </w:p>
    <w:p w14:paraId="08FB6901" w14:textId="2D490D72" w:rsidR="00AF1DD1" w:rsidRDefault="00BE29B2" w:rsidP="00A02DEA">
      <w:pPr>
        <w:spacing w:after="0"/>
      </w:pPr>
      <w:r>
        <w:t>As part of the Distribution Resource Plan (DRP) Track 1’s Demonstration Project B (Demo B), non-capacity reliability related projects were divided into two categories, deferrable and non-deferrable. The deferrab</w:t>
      </w:r>
      <w:r w:rsidR="007F38F9">
        <w:t>le reliability projects include</w:t>
      </w:r>
      <w:r>
        <w:t xml:space="preserve"> back-tie projects and </w:t>
      </w:r>
      <w:r w:rsidR="00210EA7">
        <w:t xml:space="preserve">microgrid projects. </w:t>
      </w:r>
      <w:r w:rsidR="00AF1DD1">
        <w:t>As t</w:t>
      </w:r>
      <w:r w:rsidR="00A02DEA">
        <w:t>he IOUs</w:t>
      </w:r>
      <w:r w:rsidR="00AF1DD1">
        <w:t xml:space="preserve"> noted in their</w:t>
      </w:r>
      <w:r w:rsidR="00A02DEA">
        <w:t xml:space="preserve"> Demo B final reports</w:t>
      </w:r>
      <w:r w:rsidR="00AF1DD1">
        <w:t xml:space="preserve">, IOUs </w:t>
      </w:r>
      <w:r w:rsidR="00A02DEA">
        <w:t>defined non-</w:t>
      </w:r>
      <w:r>
        <w:t>capacity related</w:t>
      </w:r>
      <w:r w:rsidR="00AF1DD1">
        <w:t xml:space="preserve">, non-deferrable reliability </w:t>
      </w:r>
      <w:r w:rsidR="00C22B2D">
        <w:t xml:space="preserve">projects </w:t>
      </w:r>
      <w:r w:rsidR="00AF1DD1">
        <w:t xml:space="preserve">as </w:t>
      </w:r>
      <w:r w:rsidR="00E15506">
        <w:t xml:space="preserve">(1) </w:t>
      </w:r>
      <w:r w:rsidR="00AF1DD1">
        <w:t>detecting, locating, and</w:t>
      </w:r>
      <w:r w:rsidR="00E15506">
        <w:t xml:space="preserve"> </w:t>
      </w:r>
      <w:r w:rsidR="00AF1DD1">
        <w:t xml:space="preserve">sectionalizing faults and </w:t>
      </w:r>
      <w:r w:rsidR="00E15506">
        <w:t xml:space="preserve">(2) </w:t>
      </w:r>
      <w:r w:rsidR="00AF1DD1">
        <w:t>fixing standards violations.</w:t>
      </w:r>
    </w:p>
    <w:p w14:paraId="2FF7FA45" w14:textId="77777777" w:rsidR="00A02DEA" w:rsidRDefault="00A02DEA" w:rsidP="00A02DEA">
      <w:pPr>
        <w:spacing w:after="0"/>
      </w:pPr>
    </w:p>
    <w:p w14:paraId="5748F7AA" w14:textId="77777777" w:rsidR="00A02DEA" w:rsidRDefault="00A02DEA" w:rsidP="00A02DEA">
      <w:pPr>
        <w:pStyle w:val="Heading1"/>
        <w:spacing w:before="0"/>
      </w:pPr>
      <w:r>
        <w:t>Discussion</w:t>
      </w:r>
    </w:p>
    <w:p w14:paraId="1A8FEB8D" w14:textId="4DD7252B" w:rsidR="00133251" w:rsidRDefault="00133251" w:rsidP="00133251">
      <w:pPr>
        <w:pStyle w:val="Heading2"/>
      </w:pPr>
      <w:r>
        <w:t>Fault Related Projects</w:t>
      </w:r>
    </w:p>
    <w:p w14:paraId="2552235B" w14:textId="5D295CEC" w:rsidR="009939EE" w:rsidRDefault="009939EE" w:rsidP="00A02DEA">
      <w:pPr>
        <w:spacing w:after="0"/>
      </w:pPr>
      <w:r>
        <w:t xml:space="preserve">To detect, locate, and minimize the impacts of faults on the grid, there are a number of traditional infrastructure types such as circuit breakers, automatic reclosers, switches, and </w:t>
      </w:r>
      <w:r w:rsidR="003902C8">
        <w:t xml:space="preserve">fault indicators located on the primary distribution </w:t>
      </w:r>
      <w:r>
        <w:t>line</w:t>
      </w:r>
      <w:r w:rsidR="003902C8">
        <w:t>s</w:t>
      </w:r>
      <w:r>
        <w:t>. These grid devices provide certain unique services necessary to address faults.</w:t>
      </w:r>
    </w:p>
    <w:p w14:paraId="5B23116E" w14:textId="77777777" w:rsidR="009939EE" w:rsidRDefault="009939EE" w:rsidP="00A02DEA">
      <w:pPr>
        <w:spacing w:after="0"/>
      </w:pPr>
    </w:p>
    <w:p w14:paraId="6B608BB7" w14:textId="400E8E74" w:rsidR="00C15657" w:rsidRDefault="009939EE" w:rsidP="00A02DEA">
      <w:pPr>
        <w:spacing w:after="0"/>
      </w:pPr>
      <w:r>
        <w:lastRenderedPageBreak/>
        <w:t>Similar to a circuit breaker for the home, grid circuit breakers provide the ability to detect a fault such as a short</w:t>
      </w:r>
      <w:r w:rsidR="003902C8">
        <w:t xml:space="preserve"> circuit</w:t>
      </w:r>
      <w:r>
        <w:t xml:space="preserve"> and de-energize the circuit (i.e., turn off). Automatic reclosers provide all the same benefits of a circuit breaker with the additional benefit of</w:t>
      </w:r>
      <w:r w:rsidR="003902C8">
        <w:t xml:space="preserve"> being located along the distribution line which helps limit the number of customers that experience an outage condition.</w:t>
      </w:r>
      <w:r>
        <w:t xml:space="preserve"> </w:t>
      </w:r>
      <w:r w:rsidR="003902C8">
        <w:t xml:space="preserve">Breakers and reclosers also have the ability to </w:t>
      </w:r>
      <w:r w:rsidR="00806634">
        <w:t>automatically energize</w:t>
      </w:r>
      <w:r w:rsidR="00CD3445">
        <w:t xml:space="preserve"> </w:t>
      </w:r>
      <w:r>
        <w:t xml:space="preserve">the circuit (i.e., turn on). This action minimizes the outage if the fault is transient. If the fault still exists on the circuit, </w:t>
      </w:r>
      <w:r w:rsidR="003902C8">
        <w:t>both a breaker and</w:t>
      </w:r>
      <w:r>
        <w:t xml:space="preserve"> recloser will </w:t>
      </w:r>
      <w:r w:rsidR="007B4E60">
        <w:t>detect the fault again and de-energize the circuit. Both circuit breakers and automatic reclosers provide a dual purpose of detecting faults and de-energizing equipment for public safety.</w:t>
      </w:r>
      <w:r w:rsidR="00DC24B3">
        <w:t xml:space="preserve"> </w:t>
      </w:r>
      <w:r w:rsidR="004D59C4">
        <w:t xml:space="preserve">Decoupling these two grid services would not be prudent since these two services are closely linked to each other. Since </w:t>
      </w:r>
      <w:r w:rsidR="00DC24B3">
        <w:t>DERs</w:t>
      </w:r>
      <w:r w:rsidR="00794567">
        <w:t xml:space="preserve"> do not</w:t>
      </w:r>
      <w:r w:rsidR="00DC24B3">
        <w:t xml:space="preserve"> provide the ability to de-energize a circuit</w:t>
      </w:r>
      <w:r w:rsidR="004D59C4">
        <w:t>,</w:t>
      </w:r>
      <w:r w:rsidR="00DC24B3">
        <w:t xml:space="preserve"> DERs cannot replace or defer the need for circuit breakers and reclosers on the grid.</w:t>
      </w:r>
    </w:p>
    <w:p w14:paraId="71DCD4C1" w14:textId="77777777" w:rsidR="007B4E60" w:rsidRDefault="007B4E60" w:rsidP="00A02DEA">
      <w:pPr>
        <w:spacing w:after="0"/>
      </w:pPr>
    </w:p>
    <w:p w14:paraId="3FDAD1E5" w14:textId="29FC0E95" w:rsidR="007B4E60" w:rsidRDefault="00CD44C3" w:rsidP="00A02DEA">
      <w:pPr>
        <w:spacing w:after="0"/>
      </w:pPr>
      <w:r>
        <w:t>Continuing the home analogy, imagine that a circuit in the home provides power to both a TV and an overhead light. The overhead light is also connected to a switch. If the overhead light had a short causing the circuit breaker to trip, the overhead light could be isolated by turning off the switch. This would allow the circuit breaker to be turned back on and power the TV. Similar to this home example, a switch on a circuit provides the ability to isolate a portion of the circuit. During a fault, this allows only a subset of customers connected to the circuit to encounter an outage</w:t>
      </w:r>
      <w:r w:rsidR="004C4F54">
        <w:t>. Since DERs cannot provide the ability to isolate and de-energize a portion of a circuit</w:t>
      </w:r>
      <w:r w:rsidR="000318BD">
        <w:t xml:space="preserve"> and perform the same function as a switch</w:t>
      </w:r>
      <w:r w:rsidR="004C4F54">
        <w:t>, DERs cannot replace or defer the need for switches on the grid.</w:t>
      </w:r>
      <w:r w:rsidR="000318BD">
        <w:t xml:space="preserve"> In addition, switches also allow the transfer of customers from one circuit to a neighboring circuit. This will further reduce the amount of customers impacted by a fault condition that would otherwise impact a large majority of customers on the circuit experiencing the fault. DERs are unable to transfer customers between neighboring circuits and therefore cannot replace the need for switches that provide this operational flexibility. </w:t>
      </w:r>
    </w:p>
    <w:p w14:paraId="48B319AE" w14:textId="77777777" w:rsidR="004C4F54" w:rsidRDefault="004C4F54" w:rsidP="00A02DEA">
      <w:pPr>
        <w:spacing w:after="0"/>
      </w:pPr>
    </w:p>
    <w:p w14:paraId="11C33A6B" w14:textId="0F2E04A0" w:rsidR="0069151D" w:rsidRDefault="00A63965" w:rsidP="00A02DEA">
      <w:pPr>
        <w:spacing w:after="0"/>
      </w:pPr>
      <w:r>
        <w:t xml:space="preserve">Using the same example above of a home circuit powering both a TV and overhead light on a switch, </w:t>
      </w:r>
      <w:r w:rsidR="00F406F9">
        <w:t xml:space="preserve">if a fault occurred somewhere on the segment that provided power to the overhead light, the </w:t>
      </w:r>
      <w:r w:rsidR="0069151D">
        <w:t xml:space="preserve">inability for the light to turn on indicates that there is a fault. The fault is somewhere on the circuit segment that is part of the overhead light, but further locational information is not provided. On the grid, </w:t>
      </w:r>
      <w:r w:rsidR="00C53CFC">
        <w:t>similar to the overhead light, t</w:t>
      </w:r>
      <w:r w:rsidR="0069151D">
        <w:t>he DER could potentially provide information that there is a fault, but not where it would be on the circuit segment. On the other hand, fault indicators provide locational information to narrow the area of where the issue resides. This allows for quicker response to fix faults on the system. Since DERs cannot provide this locational information, DERs cannot defer or replace fault indicators.</w:t>
      </w:r>
    </w:p>
    <w:p w14:paraId="119E68BE" w14:textId="77777777" w:rsidR="0069151D" w:rsidRDefault="0069151D" w:rsidP="00A02DEA">
      <w:pPr>
        <w:spacing w:after="0"/>
      </w:pPr>
    </w:p>
    <w:p w14:paraId="0115F4FE" w14:textId="287CCC9C" w:rsidR="00133251" w:rsidRDefault="007C1C7C" w:rsidP="00133251">
      <w:pPr>
        <w:pStyle w:val="Heading2"/>
      </w:pPr>
      <w:r>
        <w:t>Standards Violation</w:t>
      </w:r>
      <w:r w:rsidR="001C3ABF">
        <w:t xml:space="preserve"> Projects</w:t>
      </w:r>
    </w:p>
    <w:p w14:paraId="19ECF9BC" w14:textId="2C1C1F6A" w:rsidR="004C4F54" w:rsidRDefault="00124D58" w:rsidP="00A02DEA">
      <w:pPr>
        <w:spacing w:after="0"/>
      </w:pPr>
      <w:r>
        <w:t>Standards violation projects address physical equipment such as equipment in underground vaults and overhead poles. IOUs address standards violations to ensure both reliability and public safety. For example, an overhead pole could be overloaded with equipment stressing the pole. To fix this issue, the IOU would reduce the equipment on that pole. Since the solutions for standards violations are often physical in nature, DERs would not be able to defer or avoid these types of projects.</w:t>
      </w:r>
    </w:p>
    <w:p w14:paraId="33356CC0" w14:textId="77777777" w:rsidR="00A02DEA" w:rsidRDefault="00A02DEA" w:rsidP="00A02DEA">
      <w:pPr>
        <w:spacing w:after="0"/>
      </w:pPr>
    </w:p>
    <w:p w14:paraId="4708D45A" w14:textId="77777777" w:rsidR="006A2E5F" w:rsidRPr="00A02DEA" w:rsidRDefault="006A2E5F" w:rsidP="00A02DEA"/>
    <w:sectPr w:rsidR="006A2E5F" w:rsidRPr="00A02DEA" w:rsidSect="00CD344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F5A56F" w14:textId="77777777" w:rsidR="00BB35B4" w:rsidRDefault="00BB35B4" w:rsidP="00A02DEA">
      <w:pPr>
        <w:spacing w:after="0" w:line="240" w:lineRule="auto"/>
      </w:pPr>
      <w:r>
        <w:separator/>
      </w:r>
    </w:p>
  </w:endnote>
  <w:endnote w:type="continuationSeparator" w:id="0">
    <w:p w14:paraId="71FB174B" w14:textId="77777777" w:rsidR="00BB35B4" w:rsidRDefault="00BB35B4" w:rsidP="00A02D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549E82" w14:textId="77777777" w:rsidR="00BB35B4" w:rsidRDefault="00BB35B4" w:rsidP="00A02DEA">
      <w:pPr>
        <w:spacing w:after="0" w:line="240" w:lineRule="auto"/>
      </w:pPr>
      <w:r>
        <w:separator/>
      </w:r>
    </w:p>
  </w:footnote>
  <w:footnote w:type="continuationSeparator" w:id="0">
    <w:p w14:paraId="55C08504" w14:textId="77777777" w:rsidR="00BB35B4" w:rsidRDefault="00BB35B4" w:rsidP="00A02D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60587F"/>
    <w:multiLevelType w:val="hybridMultilevel"/>
    <w:tmpl w:val="C37E55C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831532"/>
    <w:multiLevelType w:val="hybridMultilevel"/>
    <w:tmpl w:val="C750F5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F92FB7"/>
    <w:multiLevelType w:val="hybridMultilevel"/>
    <w:tmpl w:val="86DE684C"/>
    <w:lvl w:ilvl="0" w:tplc="597A02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FD5253"/>
    <w:multiLevelType w:val="hybridMultilevel"/>
    <w:tmpl w:val="DD00F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1725266"/>
    <w:multiLevelType w:val="hybridMultilevel"/>
    <w:tmpl w:val="5C5EF63E"/>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7E30706"/>
    <w:multiLevelType w:val="hybridMultilevel"/>
    <w:tmpl w:val="EE3271B4"/>
    <w:lvl w:ilvl="0" w:tplc="60A88E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1D6"/>
    <w:rsid w:val="00025DC2"/>
    <w:rsid w:val="000318BD"/>
    <w:rsid w:val="00124D58"/>
    <w:rsid w:val="00133251"/>
    <w:rsid w:val="00140A50"/>
    <w:rsid w:val="00146C80"/>
    <w:rsid w:val="001C3ABF"/>
    <w:rsid w:val="00210EA7"/>
    <w:rsid w:val="00215742"/>
    <w:rsid w:val="00284140"/>
    <w:rsid w:val="00343B61"/>
    <w:rsid w:val="003902C8"/>
    <w:rsid w:val="00441AE1"/>
    <w:rsid w:val="004C4F54"/>
    <w:rsid w:val="004D59C4"/>
    <w:rsid w:val="004F195C"/>
    <w:rsid w:val="005132EC"/>
    <w:rsid w:val="00524BDA"/>
    <w:rsid w:val="0069151D"/>
    <w:rsid w:val="006A2E5F"/>
    <w:rsid w:val="00754B2C"/>
    <w:rsid w:val="00794567"/>
    <w:rsid w:val="007A25A2"/>
    <w:rsid w:val="007B4E60"/>
    <w:rsid w:val="007C1C7C"/>
    <w:rsid w:val="007C45AE"/>
    <w:rsid w:val="007F2692"/>
    <w:rsid w:val="007F38F9"/>
    <w:rsid w:val="00806634"/>
    <w:rsid w:val="008178AC"/>
    <w:rsid w:val="008612DB"/>
    <w:rsid w:val="00964042"/>
    <w:rsid w:val="009939EE"/>
    <w:rsid w:val="009A0C8C"/>
    <w:rsid w:val="00A02DEA"/>
    <w:rsid w:val="00A63965"/>
    <w:rsid w:val="00AB41D6"/>
    <w:rsid w:val="00AF1DD1"/>
    <w:rsid w:val="00B609C3"/>
    <w:rsid w:val="00B95D31"/>
    <w:rsid w:val="00BB35B4"/>
    <w:rsid w:val="00BE29B2"/>
    <w:rsid w:val="00C15657"/>
    <w:rsid w:val="00C22B2D"/>
    <w:rsid w:val="00C23D61"/>
    <w:rsid w:val="00C53CFC"/>
    <w:rsid w:val="00CD3445"/>
    <w:rsid w:val="00CD44C3"/>
    <w:rsid w:val="00DA25C0"/>
    <w:rsid w:val="00DA3E7A"/>
    <w:rsid w:val="00DC24B3"/>
    <w:rsid w:val="00DD1EDA"/>
    <w:rsid w:val="00DE5C39"/>
    <w:rsid w:val="00E15506"/>
    <w:rsid w:val="00E20D1A"/>
    <w:rsid w:val="00E42A0F"/>
    <w:rsid w:val="00EB28D1"/>
    <w:rsid w:val="00F406F9"/>
    <w:rsid w:val="00FA01E5"/>
    <w:rsid w:val="0832C2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00040"/>
  <w15:docId w15:val="{CBD8ACCA-33F2-490D-A797-0755A250B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2DEA"/>
  </w:style>
  <w:style w:type="paragraph" w:styleId="Heading1">
    <w:name w:val="heading 1"/>
    <w:basedOn w:val="Normal"/>
    <w:next w:val="Normal"/>
    <w:link w:val="Heading1Char"/>
    <w:uiPriority w:val="9"/>
    <w:qFormat/>
    <w:rsid w:val="00A02DE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3325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2DEA"/>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A02DEA"/>
    <w:pPr>
      <w:ind w:left="720"/>
      <w:contextualSpacing/>
    </w:pPr>
  </w:style>
  <w:style w:type="paragraph" w:styleId="Title">
    <w:name w:val="Title"/>
    <w:basedOn w:val="Normal"/>
    <w:next w:val="Normal"/>
    <w:link w:val="TitleChar"/>
    <w:uiPriority w:val="10"/>
    <w:qFormat/>
    <w:rsid w:val="00A02DE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2D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2DE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02DEA"/>
    <w:rPr>
      <w:rFonts w:eastAsiaTheme="minorEastAsia"/>
      <w:color w:val="5A5A5A" w:themeColor="text1" w:themeTint="A5"/>
      <w:spacing w:val="15"/>
    </w:rPr>
  </w:style>
  <w:style w:type="paragraph" w:styleId="FootnoteText">
    <w:name w:val="footnote text"/>
    <w:basedOn w:val="Normal"/>
    <w:link w:val="FootnoteTextChar"/>
    <w:uiPriority w:val="99"/>
    <w:semiHidden/>
    <w:unhideWhenUsed/>
    <w:rsid w:val="00A02D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2DEA"/>
    <w:rPr>
      <w:sz w:val="20"/>
      <w:szCs w:val="20"/>
    </w:rPr>
  </w:style>
  <w:style w:type="character" w:styleId="FootnoteReference">
    <w:name w:val="footnote reference"/>
    <w:basedOn w:val="DefaultParagraphFont"/>
    <w:uiPriority w:val="99"/>
    <w:semiHidden/>
    <w:unhideWhenUsed/>
    <w:rsid w:val="00A02DEA"/>
    <w:rPr>
      <w:vertAlign w:val="superscript"/>
    </w:rPr>
  </w:style>
  <w:style w:type="character" w:styleId="CommentReference">
    <w:name w:val="annotation reference"/>
    <w:basedOn w:val="DefaultParagraphFont"/>
    <w:uiPriority w:val="99"/>
    <w:semiHidden/>
    <w:unhideWhenUsed/>
    <w:rsid w:val="00A63965"/>
    <w:rPr>
      <w:sz w:val="16"/>
      <w:szCs w:val="16"/>
    </w:rPr>
  </w:style>
  <w:style w:type="paragraph" w:styleId="CommentText">
    <w:name w:val="annotation text"/>
    <w:basedOn w:val="Normal"/>
    <w:link w:val="CommentTextChar"/>
    <w:uiPriority w:val="99"/>
    <w:semiHidden/>
    <w:unhideWhenUsed/>
    <w:rsid w:val="00A63965"/>
    <w:pPr>
      <w:spacing w:line="240" w:lineRule="auto"/>
    </w:pPr>
    <w:rPr>
      <w:sz w:val="20"/>
      <w:szCs w:val="20"/>
    </w:rPr>
  </w:style>
  <w:style w:type="character" w:customStyle="1" w:styleId="CommentTextChar">
    <w:name w:val="Comment Text Char"/>
    <w:basedOn w:val="DefaultParagraphFont"/>
    <w:link w:val="CommentText"/>
    <w:uiPriority w:val="99"/>
    <w:semiHidden/>
    <w:rsid w:val="00A63965"/>
    <w:rPr>
      <w:sz w:val="20"/>
      <w:szCs w:val="20"/>
    </w:rPr>
  </w:style>
  <w:style w:type="paragraph" w:styleId="CommentSubject">
    <w:name w:val="annotation subject"/>
    <w:basedOn w:val="CommentText"/>
    <w:next w:val="CommentText"/>
    <w:link w:val="CommentSubjectChar"/>
    <w:uiPriority w:val="99"/>
    <w:semiHidden/>
    <w:unhideWhenUsed/>
    <w:rsid w:val="00A63965"/>
    <w:rPr>
      <w:b/>
      <w:bCs/>
    </w:rPr>
  </w:style>
  <w:style w:type="character" w:customStyle="1" w:styleId="CommentSubjectChar">
    <w:name w:val="Comment Subject Char"/>
    <w:basedOn w:val="CommentTextChar"/>
    <w:link w:val="CommentSubject"/>
    <w:uiPriority w:val="99"/>
    <w:semiHidden/>
    <w:rsid w:val="00A63965"/>
    <w:rPr>
      <w:b/>
      <w:bCs/>
      <w:sz w:val="20"/>
      <w:szCs w:val="20"/>
    </w:rPr>
  </w:style>
  <w:style w:type="paragraph" w:styleId="BalloonText">
    <w:name w:val="Balloon Text"/>
    <w:basedOn w:val="Normal"/>
    <w:link w:val="BalloonTextChar"/>
    <w:uiPriority w:val="99"/>
    <w:semiHidden/>
    <w:unhideWhenUsed/>
    <w:rsid w:val="00A639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965"/>
    <w:rPr>
      <w:rFonts w:ascii="Segoe UI" w:hAnsi="Segoe UI" w:cs="Segoe UI"/>
      <w:sz w:val="18"/>
      <w:szCs w:val="18"/>
    </w:rPr>
  </w:style>
  <w:style w:type="character" w:customStyle="1" w:styleId="Heading2Char">
    <w:name w:val="Heading 2 Char"/>
    <w:basedOn w:val="DefaultParagraphFont"/>
    <w:link w:val="Heading2"/>
    <w:uiPriority w:val="9"/>
    <w:rsid w:val="00133251"/>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897</Words>
  <Characters>5119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Maurice Ahyow</dc:creator>
  <cp:keywords/>
  <dc:description/>
  <cp:lastModifiedBy>Steven Coulter</cp:lastModifiedBy>
  <cp:revision>2</cp:revision>
  <dcterms:created xsi:type="dcterms:W3CDTF">2017-10-25T17:06:00Z</dcterms:created>
  <dcterms:modified xsi:type="dcterms:W3CDTF">2017-10-25T17:06:00Z</dcterms:modified>
</cp:coreProperties>
</file>