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255DD0" w14:textId="00483C5E" w:rsidR="00152B08" w:rsidRDefault="00152B08" w:rsidP="00F200EA">
      <w:pPr>
        <w:pStyle w:val="Title"/>
      </w:pPr>
      <w:r>
        <w:t>Item 14: Benefits of increased reliability (non-capacity related)</w:t>
      </w:r>
    </w:p>
    <w:p w14:paraId="6E408330" w14:textId="77777777" w:rsidR="004221C4" w:rsidRPr="004221C4" w:rsidRDefault="004221C4" w:rsidP="004221C4"/>
    <w:p w14:paraId="6B8CC868" w14:textId="77777777" w:rsidR="00F200EA" w:rsidRDefault="00F200EA" w:rsidP="00F200EA">
      <w:pPr>
        <w:pStyle w:val="Title"/>
      </w:pPr>
      <w:r>
        <w:t xml:space="preserve">SEIA Initial Proposal </w:t>
      </w:r>
    </w:p>
    <w:p w14:paraId="12F12170" w14:textId="77777777" w:rsidR="00F200EA" w:rsidRPr="00B866DB" w:rsidRDefault="00F200EA" w:rsidP="00F200EA">
      <w:pPr>
        <w:pStyle w:val="Subtitle"/>
        <w:spacing w:after="0"/>
      </w:pPr>
      <w:r w:rsidRPr="00B866DB">
        <w:t>LNBA Working Group</w:t>
      </w:r>
    </w:p>
    <w:p w14:paraId="479C8FA4" w14:textId="77777777" w:rsidR="00F200EA" w:rsidRDefault="00F200EA" w:rsidP="00F200EA">
      <w:pPr>
        <w:spacing w:after="0"/>
      </w:pPr>
    </w:p>
    <w:p w14:paraId="5C3F6B21" w14:textId="77777777" w:rsidR="00F200EA" w:rsidRDefault="00F200EA" w:rsidP="00F200EA">
      <w:pPr>
        <w:pStyle w:val="Heading1"/>
        <w:spacing w:before="0"/>
      </w:pPr>
      <w:r>
        <w:t>Summary of Recommendations</w:t>
      </w:r>
    </w:p>
    <w:p w14:paraId="07FDC80E" w14:textId="0F3F8605" w:rsidR="00152B08" w:rsidRDefault="00152B08" w:rsidP="00F67AD2">
      <w:pPr>
        <w:pStyle w:val="ListParagraph"/>
        <w:numPr>
          <w:ilvl w:val="0"/>
          <w:numId w:val="3"/>
        </w:numPr>
        <w:spacing w:after="0" w:line="480" w:lineRule="auto"/>
      </w:pPr>
      <w:r>
        <w:t>Some DERs provide</w:t>
      </w:r>
      <w:r w:rsidR="004221C4">
        <w:t xml:space="preserve"> substantial</w:t>
      </w:r>
      <w:r>
        <w:t xml:space="preserve"> reliability benefits beyond providing back-tie capa</w:t>
      </w:r>
      <w:r w:rsidR="004221C4">
        <w:t xml:space="preserve">city, and outside of microgrids, and </w:t>
      </w:r>
      <w:r>
        <w:t>these values should be captured in the LNBA</w:t>
      </w:r>
      <w:r w:rsidR="00F67AD2">
        <w:t>;</w:t>
      </w:r>
    </w:p>
    <w:p w14:paraId="2DF06640" w14:textId="77777777" w:rsidR="00152B08" w:rsidRDefault="00152B08" w:rsidP="00F67AD2">
      <w:pPr>
        <w:pStyle w:val="ListParagraph"/>
        <w:numPr>
          <w:ilvl w:val="0"/>
          <w:numId w:val="3"/>
        </w:numPr>
        <w:spacing w:after="0" w:line="480" w:lineRule="auto"/>
      </w:pPr>
      <w:r>
        <w:t>Utilities use avoided customer minutes of interruption, and their associated costs, to justify the cost effectiveness of investments in grid modernization. Most of these costs come from a small number of commercial and industrial customers, meaning that these customers realize most of the benefits in enhanced reliability. Reliability benefits of utility investments should be treated comparably to benefits from distributed energy resources</w:t>
      </w:r>
      <w:r w:rsidR="00F67AD2">
        <w:t>; and</w:t>
      </w:r>
    </w:p>
    <w:p w14:paraId="7A8F82AF" w14:textId="77777777" w:rsidR="00152B08" w:rsidRDefault="00152B08" w:rsidP="00F67AD2">
      <w:pPr>
        <w:pStyle w:val="ListParagraph"/>
        <w:numPr>
          <w:ilvl w:val="0"/>
          <w:numId w:val="3"/>
        </w:numPr>
        <w:spacing w:after="0" w:line="480" w:lineRule="auto"/>
      </w:pPr>
      <w:r>
        <w:t xml:space="preserve">There are two ways to calculate the reliability benefits of distributed energy resources outside </w:t>
      </w:r>
      <w:r w:rsidR="00CD1101">
        <w:t>of capacity (“back-tie”) projects:</w:t>
      </w:r>
    </w:p>
    <w:p w14:paraId="6E9560D1" w14:textId="77777777" w:rsidR="00CD1101" w:rsidRDefault="00CD1101" w:rsidP="00F67AD2">
      <w:pPr>
        <w:pStyle w:val="ListParagraph"/>
        <w:spacing w:after="0" w:line="480" w:lineRule="auto"/>
        <w:ind w:left="1800"/>
      </w:pPr>
      <w:r>
        <w:t xml:space="preserve">1) calculating the </w:t>
      </w:r>
      <w:r w:rsidR="00267BBB">
        <w:t>avoided costs of customer minutes of interruption</w:t>
      </w:r>
    </w:p>
    <w:p w14:paraId="73B02BD5" w14:textId="77777777" w:rsidR="00267BBB" w:rsidRDefault="00267BBB" w:rsidP="00F67AD2">
      <w:pPr>
        <w:pStyle w:val="ListParagraph"/>
        <w:spacing w:after="0" w:line="480" w:lineRule="auto"/>
        <w:ind w:left="1800"/>
      </w:pPr>
      <w:r>
        <w:t xml:space="preserve">2) calculating the avoided costs of </w:t>
      </w:r>
      <w:r w:rsidR="00F67AD2">
        <w:t>non-capacity reliability equipment</w:t>
      </w:r>
    </w:p>
    <w:p w14:paraId="488E7899" w14:textId="77777777" w:rsidR="00F200EA" w:rsidRDefault="00F200EA" w:rsidP="00F200EA">
      <w:pPr>
        <w:spacing w:after="0"/>
      </w:pPr>
    </w:p>
    <w:p w14:paraId="1CB566EB" w14:textId="77777777" w:rsidR="00F200EA" w:rsidRDefault="00F200EA" w:rsidP="00F200EA">
      <w:pPr>
        <w:spacing w:after="0"/>
      </w:pPr>
    </w:p>
    <w:p w14:paraId="7639F6F8" w14:textId="77777777" w:rsidR="00F200EA" w:rsidRDefault="00F200EA" w:rsidP="00F200EA">
      <w:pPr>
        <w:pStyle w:val="Heading1"/>
        <w:spacing w:before="0"/>
      </w:pPr>
      <w:r>
        <w:t>Introduction and Background</w:t>
      </w:r>
    </w:p>
    <w:p w14:paraId="28C491BD" w14:textId="77777777" w:rsidR="00F200EA" w:rsidRDefault="00F200EA" w:rsidP="00F200EA"/>
    <w:p w14:paraId="1817CD10" w14:textId="0D27F0AE" w:rsidR="00152B08" w:rsidRDefault="00152B08" w:rsidP="004221C4">
      <w:pPr>
        <w:spacing w:line="480" w:lineRule="auto"/>
        <w:ind w:firstLine="720"/>
      </w:pPr>
      <w:r>
        <w:t>For the purposes of the DRP Demonstration B projects, the IOUs used the ability of DERs to provide “back-tie” services as the avoided cost value for reliability</w:t>
      </w:r>
      <w:r>
        <w:rPr>
          <w:rStyle w:val="FootnoteReference"/>
        </w:rPr>
        <w:footnoteReference w:id="1"/>
      </w:r>
      <w:r>
        <w:t xml:space="preserve">. Specifically, DERs could reduce load, </w:t>
      </w:r>
      <w:r>
        <w:lastRenderedPageBreak/>
        <w:t>effectively increasing the amount of load that could be transferred through a tie line during abnormal configurations. For resiliency, the</w:t>
      </w:r>
      <w:r w:rsidR="004221C4">
        <w:t xml:space="preserve"> IOU’s LNBA</w:t>
      </w:r>
      <w:r>
        <w:t xml:space="preserve"> demonstration projects considered the value of a micro-grid </w:t>
      </w:r>
      <w:r w:rsidR="004221C4">
        <w:t>providing</w:t>
      </w:r>
      <w:r>
        <w:t xml:space="preserve"> excess reserves for restoring customers and islanded power to customers within the microgrid during outages. Both DER-provided reliability and resiliency service definitions were pulled from the definitions created in the Competitive Solicitation Working Group</w:t>
      </w:r>
      <w:r>
        <w:rPr>
          <w:rStyle w:val="FootnoteReference"/>
        </w:rPr>
        <w:footnoteReference w:id="2"/>
      </w:r>
      <w:r>
        <w:t>. This may have been appropriate for the demonstration project but provides a very narrow valuation of distributed energy resources.</w:t>
      </w:r>
    </w:p>
    <w:p w14:paraId="770F4957" w14:textId="44A34CF5" w:rsidR="004221C4" w:rsidRDefault="00152B08" w:rsidP="00152B08">
      <w:pPr>
        <w:spacing w:line="480" w:lineRule="auto"/>
        <w:ind w:firstLine="720"/>
      </w:pPr>
      <w:r>
        <w:t>Utilities are using measures of customer interruption as a metric for justification of grid modernization investments</w:t>
      </w:r>
      <w:r>
        <w:rPr>
          <w:rStyle w:val="FootnoteReference"/>
        </w:rPr>
        <w:footnoteReference w:id="3"/>
      </w:r>
      <w:r>
        <w:t>. Studies have shown that these costs vary widely across and within rate classes, with some customers (such as large C&amp;I customers manufacturing goods) having much higher interruption costs than others (such as residential customers)</w:t>
      </w:r>
      <w:r>
        <w:rPr>
          <w:rStyle w:val="FootnoteReference"/>
        </w:rPr>
        <w:footnoteReference w:id="4"/>
      </w:r>
      <w:r>
        <w:t xml:space="preserve">. However, while the benefits of improved reliability are disproportionately realized by a relatively small number of customers, utility investments in Fault Location and Service Restoration, automated switching, and other distribution automation investments are socialized.  </w:t>
      </w:r>
      <w:r w:rsidR="004221C4">
        <w:t xml:space="preserve">At the same time, these investments are unlikely to be made in areas with low population density, but likely high risk for outages; </w:t>
      </w:r>
      <w:r w:rsidR="00901FD0">
        <w:t xml:space="preserve">this is </w:t>
      </w:r>
      <w:bookmarkStart w:id="0" w:name="_GoBack"/>
      <w:bookmarkEnd w:id="0"/>
      <w:r w:rsidR="004221C4">
        <w:t xml:space="preserve">a situation which could be aptly addressed by DERs either within a microgrid or as </w:t>
      </w:r>
      <w:proofErr w:type="spellStart"/>
      <w:r w:rsidR="004221C4">
        <w:t>stand alone</w:t>
      </w:r>
      <w:proofErr w:type="spellEnd"/>
      <w:r w:rsidR="004221C4">
        <w:t xml:space="preserve"> resources.</w:t>
      </w:r>
    </w:p>
    <w:p w14:paraId="6422AAA3" w14:textId="4A773FE7" w:rsidR="00152B08" w:rsidRDefault="00152B08" w:rsidP="00152B08">
      <w:pPr>
        <w:spacing w:line="480" w:lineRule="auto"/>
        <w:ind w:firstLine="720"/>
      </w:pPr>
      <w:r>
        <w:t xml:space="preserve">Particularly </w:t>
      </w:r>
      <w:proofErr w:type="gramStart"/>
      <w:r>
        <w:t>in light of</w:t>
      </w:r>
      <w:proofErr w:type="gramEnd"/>
      <w:r>
        <w:t xml:space="preserve"> expected broad stationary battery storage adoption, and customer investments in other distributed energy resources</w:t>
      </w:r>
      <w:r w:rsidR="004221C4">
        <w:t xml:space="preserve"> (e.g., fuel cells)</w:t>
      </w:r>
      <w:r>
        <w:t xml:space="preserve"> that can island from the grid and provide electricity service during outages,</w:t>
      </w:r>
      <w:r w:rsidR="004221C4">
        <w:t xml:space="preserve"> it is reasonable to consider the ability of these resources to</w:t>
      </w:r>
      <w:r>
        <w:t xml:space="preserve"> offset costs that might otherwise be addressed through</w:t>
      </w:r>
      <w:r w:rsidR="004221C4">
        <w:t xml:space="preserve"> grid modernization investments intended to improve reliability.</w:t>
      </w:r>
    </w:p>
    <w:p w14:paraId="20F92887" w14:textId="77777777" w:rsidR="00F200EA" w:rsidRPr="00F74FB2" w:rsidRDefault="00F200EA" w:rsidP="00F200EA">
      <w:pPr>
        <w:spacing w:after="0"/>
      </w:pPr>
    </w:p>
    <w:p w14:paraId="11947972" w14:textId="77777777" w:rsidR="00F200EA" w:rsidRDefault="00F200EA" w:rsidP="00F200EA">
      <w:pPr>
        <w:pStyle w:val="Heading1"/>
        <w:spacing w:before="0"/>
      </w:pPr>
      <w:r>
        <w:t xml:space="preserve">Discussion </w:t>
      </w:r>
    </w:p>
    <w:p w14:paraId="0803B8F3" w14:textId="77777777" w:rsidR="00352035" w:rsidRDefault="00352035" w:rsidP="00352035">
      <w:pPr>
        <w:spacing w:line="480" w:lineRule="auto"/>
        <w:ind w:firstLine="720"/>
      </w:pPr>
      <w:r>
        <w:t>In their presentation to the LNBA working group on October 16</w:t>
      </w:r>
      <w:r w:rsidRPr="00352035">
        <w:rPr>
          <w:vertAlign w:val="superscript"/>
        </w:rPr>
        <w:t>th</w:t>
      </w:r>
      <w:r>
        <w:t>, the IOUs presented on the definition of “non-capacity reliability” projects. SEIA agrees with the IOUs characterization of the different projects:</w:t>
      </w:r>
    </w:p>
    <w:p w14:paraId="11DAEE0A" w14:textId="77777777" w:rsidR="00352035" w:rsidRDefault="00352035" w:rsidP="00352035">
      <w:pPr>
        <w:pStyle w:val="ListParagraph"/>
        <w:numPr>
          <w:ilvl w:val="0"/>
          <w:numId w:val="3"/>
        </w:numPr>
      </w:pPr>
      <w:r w:rsidRPr="00352035">
        <w:t xml:space="preserve">Detecting faults on the </w:t>
      </w:r>
      <w:proofErr w:type="gramStart"/>
      <w:r w:rsidRPr="00352035">
        <w:t>grid  (</w:t>
      </w:r>
      <w:proofErr w:type="gramEnd"/>
      <w:r w:rsidRPr="00352035">
        <w:t>e.g., circuit breakers, automatic reclosers)</w:t>
      </w:r>
    </w:p>
    <w:p w14:paraId="16EAAC1C" w14:textId="77777777" w:rsidR="00352035" w:rsidRDefault="00352035" w:rsidP="00352035">
      <w:pPr>
        <w:pStyle w:val="ListParagraph"/>
        <w:numPr>
          <w:ilvl w:val="0"/>
          <w:numId w:val="3"/>
        </w:numPr>
      </w:pPr>
      <w:r>
        <w:t xml:space="preserve"> </w:t>
      </w:r>
      <w:r w:rsidRPr="00352035">
        <w:t>Locating faults on the grid (e.g., sensing equipment)</w:t>
      </w:r>
    </w:p>
    <w:p w14:paraId="43D963AC" w14:textId="77777777" w:rsidR="00352035" w:rsidRDefault="00352035" w:rsidP="00352035">
      <w:pPr>
        <w:pStyle w:val="ListParagraph"/>
        <w:numPr>
          <w:ilvl w:val="0"/>
          <w:numId w:val="3"/>
        </w:numPr>
      </w:pPr>
      <w:r>
        <w:t xml:space="preserve"> </w:t>
      </w:r>
      <w:r w:rsidRPr="00352035">
        <w:t>Sectionalizing circuits to minimize the impac</w:t>
      </w:r>
      <w:r>
        <w:t xml:space="preserve">ts of faults (e.g., switches) </w:t>
      </w:r>
    </w:p>
    <w:p w14:paraId="05D18B7D" w14:textId="77777777" w:rsidR="00352035" w:rsidRDefault="00352035" w:rsidP="00352035">
      <w:pPr>
        <w:pStyle w:val="ListParagraph"/>
        <w:numPr>
          <w:ilvl w:val="0"/>
          <w:numId w:val="3"/>
        </w:numPr>
      </w:pPr>
      <w:r w:rsidRPr="00352035">
        <w:t>Fixing standards violations (e.g. reconfigure underground st</w:t>
      </w:r>
      <w:r>
        <w:t xml:space="preserve">ructure or distribution pole) </w:t>
      </w:r>
    </w:p>
    <w:p w14:paraId="52E0F142" w14:textId="228C54DB" w:rsidR="00F67AD2" w:rsidRDefault="00352035" w:rsidP="00267BBB">
      <w:pPr>
        <w:spacing w:line="480" w:lineRule="auto"/>
      </w:pPr>
      <w:r>
        <w:tab/>
        <w:t>SEIA agrees that DERs are unable to address standard violations. However, SEIA categorically disagrees that can DERs</w:t>
      </w:r>
      <w:r w:rsidR="004221C4">
        <w:t>, in aggregate,</w:t>
      </w:r>
      <w:r>
        <w:t xml:space="preserve"> cannot provide the same reliability improvements that</w:t>
      </w:r>
      <w:r w:rsidR="004221C4">
        <w:t xml:space="preserve"> systematic</w:t>
      </w:r>
      <w:r>
        <w:t xml:space="preserve"> utility investments in fault location isolation and reconfiguration (FLISR) investments would provide. The intent of adding more switches, identifying faults, and using automation is to reduce the amount of time that customers on a line segment are without service. These investments are justified by the cost</w:t>
      </w:r>
      <w:r w:rsidR="00F67AD2">
        <w:t xml:space="preserve"> to customers</w:t>
      </w:r>
      <w:r>
        <w:t xml:space="preserve"> (at a system wide level) of the additional length of an outage these customers would suffer. Therefore</w:t>
      </w:r>
      <w:r w:rsidR="00F67AD2">
        <w:t>,</w:t>
      </w:r>
      <w:r>
        <w:t xml:space="preserve"> it is not appropriate to compare a solar-plus-battery system</w:t>
      </w:r>
      <w:r w:rsidR="00267BBB">
        <w:t xml:space="preserve"> or a fuel cell</w:t>
      </w:r>
      <w:r>
        <w:t xml:space="preserve"> against a fault indicator or a </w:t>
      </w:r>
      <w:r w:rsidR="00267BBB">
        <w:t>switch; these resources would never replace the function of this piece of eq</w:t>
      </w:r>
      <w:r w:rsidR="00F67AD2">
        <w:t>uipment on a one-for-one basis. Indeed, a battery, for example,</w:t>
      </w:r>
      <w:r w:rsidR="004221C4">
        <w:t xml:space="preserve"> is likely to be far more capable, routinely used, and therefore cost effective as it can </w:t>
      </w:r>
      <w:r w:rsidR="00F67AD2">
        <w:t xml:space="preserve">provide </w:t>
      </w:r>
      <w:proofErr w:type="spellStart"/>
      <w:r w:rsidR="00F67AD2">
        <w:t>back up</w:t>
      </w:r>
      <w:proofErr w:type="spellEnd"/>
      <w:r w:rsidR="00F67AD2">
        <w:t xml:space="preserve"> capacity to avoid an outage for a customer while also providing other grid services or avoiding customer usage and bills. </w:t>
      </w:r>
    </w:p>
    <w:p w14:paraId="1A944952" w14:textId="77777777" w:rsidR="00267BBB" w:rsidRDefault="00F67AD2" w:rsidP="00F67AD2">
      <w:pPr>
        <w:spacing w:line="480" w:lineRule="auto"/>
        <w:ind w:firstLine="720"/>
      </w:pPr>
      <w:r>
        <w:t xml:space="preserve">It is not a meaningful comparison to consider the function of an automated distribution switch versus a battery or other distributed energy resource. The </w:t>
      </w:r>
      <w:r w:rsidR="00267BBB">
        <w:t xml:space="preserve">meaningful question is whether these resources are avoiding customer costs that would otherwise be used to justify utility investments in additional segmentation of lines, more automation, or additional fault indicators. Indeed, many customers already invest in Uninterruptable Power Supply to provide this reliability service for </w:t>
      </w:r>
      <w:r w:rsidR="00267BBB">
        <w:lastRenderedPageBreak/>
        <w:t>themselves and it is not clear whether utility analyses account for these investments when assuming certain benefits will accrue to these customers with high reliability needs.</w:t>
      </w:r>
    </w:p>
    <w:p w14:paraId="45CD882F" w14:textId="77777777" w:rsidR="00CD1101" w:rsidRDefault="00267BBB" w:rsidP="00267BBB">
      <w:pPr>
        <w:pStyle w:val="Heading1"/>
      </w:pPr>
      <w:r>
        <w:t>Methodology</w:t>
      </w:r>
    </w:p>
    <w:p w14:paraId="78EE5228" w14:textId="77777777" w:rsidR="00267BBB" w:rsidRPr="009420D5" w:rsidRDefault="00267BBB" w:rsidP="00267BBB">
      <w:pPr>
        <w:spacing w:line="480" w:lineRule="auto"/>
        <w:ind w:firstLine="720"/>
      </w:pPr>
      <w:r>
        <w:t xml:space="preserve">There are two possible methods that could be used to quantify the value of reliability and resiliency. The first is to consider the value of lost load to the utility customers who would otherwise be subject to power outages. The second is to consider utility investments in infrastructure that have been approved or proposed in GRCs </w:t>
      </w:r>
      <w:proofErr w:type="gramStart"/>
      <w:r>
        <w:t>for the purpose of</w:t>
      </w:r>
      <w:proofErr w:type="gramEnd"/>
      <w:r>
        <w:t xml:space="preserve"> improving reliability and resiliency. In general, the Commission’s avoided cost methodologies have focused on the utility’s cost of serving load, rather than on the value of electricity service to the customers. For that reason, it is probably more appropriate to use the latter method and pull data from GRCs to determine a standard cost to reduce service disruption or restoration of service. </w:t>
      </w:r>
    </w:p>
    <w:p w14:paraId="69D2B5A0" w14:textId="77777777" w:rsidR="00267BBB" w:rsidRPr="00267BBB" w:rsidRDefault="00267BBB" w:rsidP="00267BBB"/>
    <w:p w14:paraId="538EA6F2" w14:textId="77777777" w:rsidR="00F200EA" w:rsidRDefault="00F200EA" w:rsidP="00267BBB">
      <w:pPr>
        <w:pStyle w:val="Heading1"/>
        <w:spacing w:before="0"/>
      </w:pPr>
      <w:r>
        <w:t>Conclusion and Next Steps</w:t>
      </w:r>
    </w:p>
    <w:p w14:paraId="22A77A5E" w14:textId="502A314A" w:rsidR="00F200EA" w:rsidRPr="006B3453" w:rsidRDefault="00267BBB" w:rsidP="00267BBB">
      <w:pPr>
        <w:spacing w:after="0" w:line="480" w:lineRule="auto"/>
      </w:pPr>
      <w:r>
        <w:tab/>
        <w:t>The Commission should determine whether avoided costs of interruption or avoided costs of non-capacity reliability equipment is a more appropriate measu</w:t>
      </w:r>
      <w:r w:rsidR="004221C4">
        <w:t>re and apply it as part of the Locational Net Benefit A</w:t>
      </w:r>
      <w:r>
        <w:t>nalysis. In the beginning this value could be assessed at a system level. This value could be made location specific by accounting for location specific measures of reliability (SAIDI, SAIFI, MAIFI).</w:t>
      </w:r>
    </w:p>
    <w:p w14:paraId="0E0E2392" w14:textId="77777777" w:rsidR="00B0172C" w:rsidRDefault="00B0172C"/>
    <w:sectPr w:rsidR="00B0172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75AFA9" w14:textId="77777777" w:rsidR="00267BBB" w:rsidRDefault="00267BBB" w:rsidP="00F200EA">
      <w:pPr>
        <w:spacing w:after="0" w:line="240" w:lineRule="auto"/>
      </w:pPr>
      <w:r>
        <w:separator/>
      </w:r>
    </w:p>
  </w:endnote>
  <w:endnote w:type="continuationSeparator" w:id="0">
    <w:p w14:paraId="66808C5D" w14:textId="77777777" w:rsidR="00267BBB" w:rsidRDefault="00267BBB" w:rsidP="00F20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15217D" w14:textId="77777777" w:rsidR="00267BBB" w:rsidRDefault="00267BBB" w:rsidP="00F200EA">
      <w:pPr>
        <w:spacing w:after="0" w:line="240" w:lineRule="auto"/>
      </w:pPr>
      <w:r>
        <w:separator/>
      </w:r>
    </w:p>
  </w:footnote>
  <w:footnote w:type="continuationSeparator" w:id="0">
    <w:p w14:paraId="0A798BC2" w14:textId="77777777" w:rsidR="00267BBB" w:rsidRDefault="00267BBB" w:rsidP="00F200EA">
      <w:pPr>
        <w:spacing w:after="0" w:line="240" w:lineRule="auto"/>
      </w:pPr>
      <w:r>
        <w:continuationSeparator/>
      </w:r>
    </w:p>
  </w:footnote>
  <w:footnote w:id="1">
    <w:p w14:paraId="3ABD948A" w14:textId="77777777" w:rsidR="00267BBB" w:rsidRDefault="00267BBB" w:rsidP="00152B08">
      <w:pPr>
        <w:pStyle w:val="FootnoteText"/>
      </w:pPr>
    </w:p>
  </w:footnote>
  <w:footnote w:id="2">
    <w:p w14:paraId="15F8424F" w14:textId="77777777" w:rsidR="00267BBB" w:rsidRDefault="00267BBB" w:rsidP="00152B08">
      <w:pPr>
        <w:pStyle w:val="FootnoteText"/>
      </w:pPr>
      <w:r>
        <w:rPr>
          <w:rStyle w:val="FootnoteReference"/>
        </w:rPr>
        <w:footnoteRef/>
      </w:r>
      <w:r>
        <w:t xml:space="preserve"> Competitive Solicitation Working Group Final Report (August 1</w:t>
      </w:r>
      <w:r w:rsidRPr="00761063">
        <w:rPr>
          <w:vertAlign w:val="superscript"/>
        </w:rPr>
        <w:t>st</w:t>
      </w:r>
      <w:r>
        <w:t>, 2016), p.12-13</w:t>
      </w:r>
    </w:p>
  </w:footnote>
  <w:footnote w:id="3">
    <w:p w14:paraId="701491CF" w14:textId="77777777" w:rsidR="00267BBB" w:rsidRDefault="00267BBB" w:rsidP="00152B08">
      <w:pPr>
        <w:pStyle w:val="FootnoteText"/>
      </w:pPr>
      <w:r>
        <w:rPr>
          <w:rStyle w:val="FootnoteReference"/>
        </w:rPr>
        <w:footnoteRef/>
      </w:r>
      <w:r>
        <w:t xml:space="preserve"> </w:t>
      </w:r>
      <w:hyperlink r:id="rId1" w:history="1">
        <w:r w:rsidRPr="008D522E">
          <w:rPr>
            <w:rStyle w:val="Hyperlink"/>
          </w:rPr>
          <w:t>http://www.nexant.com/resources/using-customer-reliability-benefits-assess-grid-modernization-priorities</w:t>
        </w:r>
      </w:hyperlink>
      <w:r>
        <w:t xml:space="preserve"> </w:t>
      </w:r>
    </w:p>
  </w:footnote>
  <w:footnote w:id="4">
    <w:p w14:paraId="602AAC7B" w14:textId="77777777" w:rsidR="00267BBB" w:rsidRDefault="00267BBB" w:rsidP="00152B08">
      <w:pPr>
        <w:pStyle w:val="FootnoteText"/>
      </w:pPr>
      <w:r>
        <w:rPr>
          <w:rStyle w:val="FootnoteReference"/>
        </w:rPr>
        <w:footnoteRef/>
      </w:r>
      <w:r>
        <w:t xml:space="preserve"> </w:t>
      </w:r>
      <w:hyperlink r:id="rId2" w:history="1">
        <w:r w:rsidRPr="00E940AA">
          <w:rPr>
            <w:rStyle w:val="Hyperlink"/>
          </w:rPr>
          <w:t>https://emp.lbl.gov/sites/default/files/lbnl-6941e.pdf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801405"/>
    <w:multiLevelType w:val="hybridMultilevel"/>
    <w:tmpl w:val="FF982F1C"/>
    <w:lvl w:ilvl="0" w:tplc="7D083CAC">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441DA1"/>
    <w:multiLevelType w:val="hybridMultilevel"/>
    <w:tmpl w:val="A5A89FB2"/>
    <w:lvl w:ilvl="0" w:tplc="3B00C79E">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0EA"/>
    <w:rsid w:val="00152B08"/>
    <w:rsid w:val="00267BBB"/>
    <w:rsid w:val="00352035"/>
    <w:rsid w:val="004221C4"/>
    <w:rsid w:val="005C32E4"/>
    <w:rsid w:val="00901FD0"/>
    <w:rsid w:val="00942246"/>
    <w:rsid w:val="00B0172C"/>
    <w:rsid w:val="00CD1101"/>
    <w:rsid w:val="00D0499B"/>
    <w:rsid w:val="00F200EA"/>
    <w:rsid w:val="00F67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5F22B"/>
  <w15:chartTrackingRefBased/>
  <w15:docId w15:val="{51E448D1-576B-4F29-BC9F-7003A2F14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00EA"/>
  </w:style>
  <w:style w:type="paragraph" w:styleId="Heading1">
    <w:name w:val="heading 1"/>
    <w:basedOn w:val="Normal"/>
    <w:next w:val="Normal"/>
    <w:link w:val="Heading1Char"/>
    <w:uiPriority w:val="9"/>
    <w:qFormat/>
    <w:rsid w:val="00F200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0E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200EA"/>
    <w:pPr>
      <w:ind w:left="720"/>
      <w:contextualSpacing/>
    </w:pPr>
  </w:style>
  <w:style w:type="paragraph" w:styleId="Title">
    <w:name w:val="Title"/>
    <w:basedOn w:val="Normal"/>
    <w:next w:val="Normal"/>
    <w:link w:val="TitleChar"/>
    <w:uiPriority w:val="10"/>
    <w:qFormat/>
    <w:rsid w:val="00F200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0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0E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200EA"/>
    <w:rPr>
      <w:rFonts w:eastAsiaTheme="minorEastAsia"/>
      <w:color w:val="5A5A5A" w:themeColor="text1" w:themeTint="A5"/>
      <w:spacing w:val="15"/>
    </w:rPr>
  </w:style>
  <w:style w:type="character" w:styleId="CommentReference">
    <w:name w:val="annotation reference"/>
    <w:basedOn w:val="DefaultParagraphFont"/>
    <w:uiPriority w:val="99"/>
    <w:semiHidden/>
    <w:unhideWhenUsed/>
    <w:rsid w:val="00F200EA"/>
    <w:rPr>
      <w:sz w:val="16"/>
      <w:szCs w:val="16"/>
    </w:rPr>
  </w:style>
  <w:style w:type="paragraph" w:styleId="CommentText">
    <w:name w:val="annotation text"/>
    <w:basedOn w:val="Normal"/>
    <w:link w:val="CommentTextChar"/>
    <w:uiPriority w:val="99"/>
    <w:semiHidden/>
    <w:unhideWhenUsed/>
    <w:rsid w:val="00F200EA"/>
    <w:pPr>
      <w:spacing w:line="240" w:lineRule="auto"/>
    </w:pPr>
    <w:rPr>
      <w:sz w:val="20"/>
      <w:szCs w:val="20"/>
    </w:rPr>
  </w:style>
  <w:style w:type="character" w:customStyle="1" w:styleId="CommentTextChar">
    <w:name w:val="Comment Text Char"/>
    <w:basedOn w:val="DefaultParagraphFont"/>
    <w:link w:val="CommentText"/>
    <w:uiPriority w:val="99"/>
    <w:semiHidden/>
    <w:rsid w:val="00F200EA"/>
    <w:rPr>
      <w:sz w:val="20"/>
      <w:szCs w:val="20"/>
    </w:rPr>
  </w:style>
  <w:style w:type="paragraph" w:styleId="FootnoteText">
    <w:name w:val="footnote text"/>
    <w:aliases w:val="Footnote Text Char2 Char,Footnote Text Char1 Char Char,Footnote Text Char Char Char Char,Footnote Text Char2 Char Char Char Char,Footnote Text Char1 Char1 Char1 Char Char Char,Footnote Text Char Char,fn,Footnote Text Char1"/>
    <w:basedOn w:val="Normal"/>
    <w:link w:val="FootnoteTextChar"/>
    <w:uiPriority w:val="99"/>
    <w:unhideWhenUsed/>
    <w:qFormat/>
    <w:rsid w:val="00F200EA"/>
    <w:pPr>
      <w:spacing w:after="0" w:line="240" w:lineRule="auto"/>
    </w:pPr>
    <w:rPr>
      <w:sz w:val="20"/>
      <w:szCs w:val="20"/>
    </w:rPr>
  </w:style>
  <w:style w:type="character" w:customStyle="1" w:styleId="FootnoteTextChar">
    <w:name w:val="Footnote Text Char"/>
    <w:aliases w:val="Footnote Text Char2 Char Char,Footnote Text Char1 Char Char Char,Footnote Text Char Char Char Char Char,Footnote Text Char2 Char Char Char Char Char,Footnote Text Char1 Char1 Char1 Char Char Char Char,Footnote Text Char Char Char"/>
    <w:basedOn w:val="DefaultParagraphFont"/>
    <w:link w:val="FootnoteText"/>
    <w:uiPriority w:val="99"/>
    <w:rsid w:val="00F200EA"/>
    <w:rPr>
      <w:sz w:val="20"/>
      <w:szCs w:val="20"/>
    </w:rPr>
  </w:style>
  <w:style w:type="character" w:styleId="FootnoteReference">
    <w:name w:val="footnote reference"/>
    <w:aliases w:val="o,fr,o1,o2,o3,o4,o5,o6,o11,o21,o7,Style 3"/>
    <w:basedOn w:val="DefaultParagraphFont"/>
    <w:uiPriority w:val="99"/>
    <w:unhideWhenUsed/>
    <w:rsid w:val="00F200EA"/>
    <w:rPr>
      <w:vertAlign w:val="superscript"/>
    </w:rPr>
  </w:style>
  <w:style w:type="paragraph" w:styleId="BalloonText">
    <w:name w:val="Balloon Text"/>
    <w:basedOn w:val="Normal"/>
    <w:link w:val="BalloonTextChar"/>
    <w:uiPriority w:val="99"/>
    <w:semiHidden/>
    <w:unhideWhenUsed/>
    <w:rsid w:val="00F200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00EA"/>
    <w:rPr>
      <w:rFonts w:ascii="Segoe UI" w:hAnsi="Segoe UI" w:cs="Segoe UI"/>
      <w:sz w:val="18"/>
      <w:szCs w:val="18"/>
    </w:rPr>
  </w:style>
  <w:style w:type="character" w:styleId="Hyperlink">
    <w:name w:val="Hyperlink"/>
    <w:basedOn w:val="DefaultParagraphFont"/>
    <w:uiPriority w:val="99"/>
    <w:unhideWhenUsed/>
    <w:rsid w:val="00152B08"/>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267BBB"/>
    <w:rPr>
      <w:b/>
      <w:bCs/>
    </w:rPr>
  </w:style>
  <w:style w:type="character" w:customStyle="1" w:styleId="CommentSubjectChar">
    <w:name w:val="Comment Subject Char"/>
    <w:basedOn w:val="CommentTextChar"/>
    <w:link w:val="CommentSubject"/>
    <w:uiPriority w:val="99"/>
    <w:semiHidden/>
    <w:rsid w:val="00267BB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emp.lbl.gov/sites/default/files/lbnl-6941e.pdf" TargetMode="External"/><Relationship Id="rId1" Type="http://schemas.openxmlformats.org/officeDocument/2006/relationships/hyperlink" Target="http://www.nexant.com/resources/using-customer-reliability-benefits-assess-grid-modernization-prior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9BA19BF0</Template>
  <TotalTime>0</TotalTime>
  <Pages>4</Pages>
  <Words>991</Words>
  <Characters>5650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Smithwood</dc:creator>
  <cp:keywords/>
  <dc:description/>
  <cp:lastModifiedBy>Brandon Smithwood</cp:lastModifiedBy>
  <cp:revision>2</cp:revision>
  <dcterms:created xsi:type="dcterms:W3CDTF">2017-10-25T05:45:00Z</dcterms:created>
  <dcterms:modified xsi:type="dcterms:W3CDTF">2017-10-25T05:45:00Z</dcterms:modified>
</cp:coreProperties>
</file>