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0163BD52" w:rsidR="00062F4C" w:rsidRPr="006B3453" w:rsidRDefault="00062F4C" w:rsidP="00D04B9A">
      <w:pPr>
        <w:pStyle w:val="Title"/>
        <w:rPr>
          <w:sz w:val="48"/>
        </w:rPr>
      </w:pPr>
      <w:r w:rsidRPr="006B3453">
        <w:rPr>
          <w:sz w:val="48"/>
        </w:rPr>
        <w:t xml:space="preserve">Topic </w:t>
      </w:r>
      <w:r w:rsidR="007E6FED">
        <w:rPr>
          <w:sz w:val="48"/>
        </w:rPr>
        <w:t>13</w:t>
      </w:r>
      <w:r w:rsidR="00E00E30">
        <w:rPr>
          <w:sz w:val="48"/>
        </w:rPr>
        <w:t>-</w:t>
      </w:r>
      <w:r w:rsidR="007E6FED">
        <w:rPr>
          <w:sz w:val="48"/>
        </w:rPr>
        <w:t>Situational Awareness</w:t>
      </w:r>
      <w:r w:rsidRPr="006B3453">
        <w:rPr>
          <w:sz w:val="48"/>
        </w:rPr>
        <w:t xml:space="preserve">: </w:t>
      </w:r>
      <w:r w:rsidR="007E6FED">
        <w:rPr>
          <w:sz w:val="48"/>
        </w:rPr>
        <w:t>Explore Possible Value of Situational Awareness or Intelligence</w:t>
      </w:r>
    </w:p>
    <w:p w14:paraId="7D43CA11" w14:textId="6DF235BE" w:rsidR="00062F4C" w:rsidRDefault="00062F4C" w:rsidP="00D04B9A">
      <w:pPr>
        <w:pStyle w:val="Subtitle"/>
        <w:spacing w:after="0"/>
      </w:pPr>
      <w:r>
        <w:t xml:space="preserve">Joint IOUs’ Initial Proposal </w:t>
      </w:r>
    </w:p>
    <w:p w14:paraId="4F879491" w14:textId="77777777" w:rsidR="00D04B9A" w:rsidRDefault="00D04B9A" w:rsidP="00D04B9A">
      <w:pPr>
        <w:pStyle w:val="Subtitle"/>
        <w:spacing w:after="0"/>
      </w:pPr>
      <w:r>
        <w:t>LNBA Working Group</w:t>
      </w:r>
    </w:p>
    <w:p w14:paraId="0E916A7B" w14:textId="77777777" w:rsidR="00D04B9A" w:rsidRDefault="00D04B9A" w:rsidP="00D04B9A">
      <w:pPr>
        <w:spacing w:after="0"/>
      </w:pPr>
    </w:p>
    <w:p w14:paraId="5A6EF65C" w14:textId="77777777" w:rsidR="00062F4C" w:rsidRDefault="00062F4C" w:rsidP="00D04B9A">
      <w:pPr>
        <w:spacing w:after="0"/>
      </w:pPr>
    </w:p>
    <w:p w14:paraId="6DEE1E41" w14:textId="54D6780E" w:rsidR="00062F4C" w:rsidRDefault="00062F4C" w:rsidP="00D04B9A">
      <w:pPr>
        <w:pStyle w:val="Heading1"/>
        <w:spacing w:before="0"/>
      </w:pPr>
      <w:r>
        <w:t xml:space="preserve">Summary of </w:t>
      </w:r>
      <w:r w:rsidR="0026768F">
        <w:t>Proposal</w:t>
      </w:r>
    </w:p>
    <w:p w14:paraId="13AEEF2C" w14:textId="77777777" w:rsidR="00400658" w:rsidRDefault="00400658" w:rsidP="00400658">
      <w:pPr>
        <w:spacing w:after="0"/>
      </w:pPr>
    </w:p>
    <w:p w14:paraId="176A19F2" w14:textId="478031EA" w:rsidR="00400658" w:rsidRDefault="00400658" w:rsidP="00FF1CA2">
      <w:pPr>
        <w:spacing w:after="0"/>
      </w:pPr>
      <w:r>
        <w:t>Wherever IOUs have an incremental cost to attain data beyond that already required of DERs for a utility purpose, where the DERs themselves are able to provide and meet the requirements for the</w:t>
      </w:r>
      <w:r w:rsidRPr="007E6FED">
        <w:t xml:space="preserve"> </w:t>
      </w:r>
      <w:r w:rsidR="000A7E5C">
        <w:t xml:space="preserve">same </w:t>
      </w:r>
      <w:r w:rsidRPr="007E6FED">
        <w:t>specified</w:t>
      </w:r>
      <w:r>
        <w:t xml:space="preserve"> data</w:t>
      </w:r>
      <w:r w:rsidRPr="007E6FED">
        <w:t xml:space="preserve"> need</w:t>
      </w:r>
      <w:r>
        <w:t xml:space="preserve">, </w:t>
      </w:r>
      <w:r w:rsidR="000A7E5C">
        <w:t xml:space="preserve">the </w:t>
      </w:r>
      <w:r>
        <w:t>DERs</w:t>
      </w:r>
      <w:r w:rsidR="000A7E5C">
        <w:t xml:space="preserve"> may be </w:t>
      </w:r>
      <w:r w:rsidR="00FF1CA2">
        <w:t>assigned</w:t>
      </w:r>
      <w:r>
        <w:t xml:space="preserve"> the avoided cost value of</w:t>
      </w:r>
      <w:r w:rsidR="000A7E5C">
        <w:t xml:space="preserve"> deferring</w:t>
      </w:r>
      <w:r>
        <w:t xml:space="preserve"> the incremental cost</w:t>
      </w:r>
      <w:r w:rsidR="000A7E5C">
        <w:t xml:space="preserve"> of acquiring the data in the utility’s conventional manner</w:t>
      </w:r>
      <w:r>
        <w:t>.</w:t>
      </w:r>
      <w:r w:rsidR="000A7E5C">
        <w:t xml:space="preserve"> </w:t>
      </w:r>
    </w:p>
    <w:p w14:paraId="5BE411FA" w14:textId="77777777" w:rsidR="00EC57A5" w:rsidRDefault="00EC57A5" w:rsidP="00EC57A5">
      <w:pPr>
        <w:spacing w:after="0"/>
      </w:pPr>
    </w:p>
    <w:p w14:paraId="5111153D" w14:textId="77777777" w:rsidR="00062F4C" w:rsidRDefault="00062F4C" w:rsidP="00D04B9A">
      <w:pPr>
        <w:pStyle w:val="Heading1"/>
        <w:spacing w:before="0"/>
      </w:pPr>
      <w:r>
        <w:t>Introduction and Background</w:t>
      </w:r>
    </w:p>
    <w:p w14:paraId="52FEB3DB" w14:textId="102F6329" w:rsidR="002C43D8" w:rsidRPr="007118F2" w:rsidRDefault="007E6FED" w:rsidP="007118F2">
      <w:pPr>
        <w:pStyle w:val="ListParagraph"/>
        <w:numPr>
          <w:ilvl w:val="0"/>
          <w:numId w:val="6"/>
        </w:numPr>
        <w:spacing w:after="0"/>
        <w:rPr>
          <w:b/>
        </w:rPr>
      </w:pPr>
      <w:r>
        <w:rPr>
          <w:b/>
        </w:rPr>
        <w:t xml:space="preserve">IDER </w:t>
      </w:r>
      <w:r w:rsidR="005B411A">
        <w:rPr>
          <w:b/>
        </w:rPr>
        <w:t xml:space="preserve">Competitive Solicitation Framework Working Group (CSF WG) </w:t>
      </w:r>
      <w:r>
        <w:rPr>
          <w:b/>
        </w:rPr>
        <w:t>Final Report</w:t>
      </w:r>
    </w:p>
    <w:p w14:paraId="4DA389E1" w14:textId="3EB61DEE" w:rsidR="007E6FED" w:rsidRDefault="005B411A" w:rsidP="005B411A">
      <w:pPr>
        <w:spacing w:after="0"/>
        <w:ind w:left="360"/>
      </w:pPr>
      <w:r>
        <w:t>The concept of a DER distribution service related to data for grid visibility and situational awareness emerged during the IDER CSF WG discussions; however no consensus on the definition or viability of this service was reached. The final report</w:t>
      </w:r>
      <w:r>
        <w:rPr>
          <w:rStyle w:val="FootnoteReference"/>
        </w:rPr>
        <w:footnoteReference w:id="1"/>
      </w:r>
      <w:r>
        <w:t xml:space="preserve"> only includes the following table listing an example and a related consensus item that this service would be associated with data that is not otherwise required</w:t>
      </w:r>
      <w:r w:rsidR="007E6FED">
        <w:t>.</w:t>
      </w:r>
    </w:p>
    <w:p w14:paraId="23B823FA" w14:textId="579C5BF7" w:rsidR="007E6FED" w:rsidRDefault="007E6FED" w:rsidP="007E6FED">
      <w:pPr>
        <w:spacing w:after="0"/>
      </w:pPr>
      <w:r>
        <w:rPr>
          <w:noProof/>
        </w:rPr>
        <w:drawing>
          <wp:inline distT="0" distB="0" distL="0" distR="0" wp14:anchorId="2480E993" wp14:editId="008D73E3">
            <wp:extent cx="4924425" cy="2552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924425" cy="2552700"/>
                    </a:xfrm>
                    <a:prstGeom prst="rect">
                      <a:avLst/>
                    </a:prstGeom>
                  </pic:spPr>
                </pic:pic>
              </a:graphicData>
            </a:graphic>
          </wp:inline>
        </w:drawing>
      </w:r>
    </w:p>
    <w:p w14:paraId="1B1EAECF" w14:textId="77777777" w:rsidR="005B411A" w:rsidRPr="00094281" w:rsidRDefault="005B411A" w:rsidP="005B411A">
      <w:pPr>
        <w:pStyle w:val="ListParagraph"/>
        <w:numPr>
          <w:ilvl w:val="0"/>
          <w:numId w:val="6"/>
        </w:numPr>
        <w:spacing w:after="0"/>
        <w:rPr>
          <w:b/>
        </w:rPr>
      </w:pPr>
      <w:r>
        <w:rPr>
          <w:b/>
        </w:rPr>
        <w:t>June 7 Assigned Commissioner Ruling (ACR)</w:t>
      </w:r>
    </w:p>
    <w:p w14:paraId="0324E96F" w14:textId="03632F64" w:rsidR="005B411A" w:rsidRDefault="00A521B0" w:rsidP="005B411A">
      <w:pPr>
        <w:spacing w:after="0"/>
        <w:ind w:left="360"/>
      </w:pPr>
      <w:r>
        <w:t>The June 7, 20</w:t>
      </w:r>
      <w:r w:rsidR="005B411A">
        <w:t>17 ACR</w:t>
      </w:r>
      <w:r w:rsidR="005B411A">
        <w:rPr>
          <w:rStyle w:val="FootnoteReference"/>
        </w:rPr>
        <w:footnoteReference w:id="2"/>
      </w:r>
      <w:r w:rsidR="005B411A">
        <w:t xml:space="preserve"> states that “</w:t>
      </w:r>
      <w:r w:rsidR="005B411A" w:rsidRPr="007E6FED">
        <w:t xml:space="preserve">Value of data-as-service for situational intelligence is likely hard to quantify on avoided or marginal cost basis, and is driven to some degree by Commission policy on </w:t>
      </w:r>
      <w:r w:rsidR="005B411A" w:rsidRPr="007E6FED">
        <w:lastRenderedPageBreak/>
        <w:t>the use of DER data for grid operations and/or planning</w:t>
      </w:r>
      <w:r w:rsidR="005B411A">
        <w:t>.” The IOUs agree, especially with respect to dependence on commission policy related to smart inverter requirements.</w:t>
      </w:r>
    </w:p>
    <w:p w14:paraId="3A1BFD93" w14:textId="77777777" w:rsidR="005B411A" w:rsidRDefault="005B411A" w:rsidP="005B411A">
      <w:pPr>
        <w:spacing w:after="0"/>
        <w:ind w:left="360"/>
      </w:pPr>
    </w:p>
    <w:p w14:paraId="4203EB8A" w14:textId="671AD9E8" w:rsidR="00B46EE7" w:rsidRDefault="00B46EE7" w:rsidP="007E6FED">
      <w:pPr>
        <w:pStyle w:val="ListParagraph"/>
        <w:spacing w:after="0"/>
        <w:ind w:left="792"/>
      </w:pPr>
    </w:p>
    <w:p w14:paraId="4B3F941F" w14:textId="77777777" w:rsidR="0016400B" w:rsidRDefault="0016400B" w:rsidP="0016400B">
      <w:pPr>
        <w:pStyle w:val="Heading1"/>
        <w:spacing w:before="0"/>
      </w:pPr>
      <w:r>
        <w:t>Proposal</w:t>
      </w:r>
    </w:p>
    <w:p w14:paraId="6122529C" w14:textId="0F5C0E9A" w:rsidR="0016400B" w:rsidRDefault="00321F32" w:rsidP="00321F32">
      <w:pPr>
        <w:spacing w:after="0"/>
      </w:pPr>
      <w:r>
        <w:t>The IOUs propose to c</w:t>
      </w:r>
      <w:r w:rsidR="0016400B">
        <w:t xml:space="preserve">onsider Situational Awareness as </w:t>
      </w:r>
      <w:r>
        <w:t xml:space="preserve">a service enabled by smart inverters and hence place this long-term refinement item under Item B in Group 1 of the June 7 ACR, </w:t>
      </w:r>
      <w:r w:rsidR="0016400B">
        <w:t>“Methods for valuating location-specific grid services provided by advanced smart inverter capabilities</w:t>
      </w:r>
      <w:r>
        <w:t>.</w:t>
      </w:r>
      <w:r w:rsidR="0016400B">
        <w:t>”</w:t>
      </w:r>
    </w:p>
    <w:p w14:paraId="4E1B88DB" w14:textId="77777777" w:rsidR="00C65298" w:rsidRDefault="00C65298" w:rsidP="00321F32">
      <w:pPr>
        <w:spacing w:after="0"/>
      </w:pPr>
    </w:p>
    <w:p w14:paraId="33B745B6" w14:textId="5F181BF2" w:rsidR="0016400B" w:rsidRPr="007E6FED" w:rsidRDefault="00C65298" w:rsidP="00C65298">
      <w:pPr>
        <w:spacing w:after="0"/>
      </w:pPr>
      <w:r>
        <w:t>The IOUs propose to d</w:t>
      </w:r>
      <w:r w:rsidR="0016400B">
        <w:t xml:space="preserve">efine </w:t>
      </w:r>
      <w:r>
        <w:t xml:space="preserve">the </w:t>
      </w:r>
      <w:r w:rsidR="0016400B">
        <w:t>Situational A</w:t>
      </w:r>
      <w:r>
        <w:t>wareness DER benefit as the</w:t>
      </w:r>
      <w:r w:rsidR="0016400B">
        <w:t xml:space="preserve"> </w:t>
      </w:r>
      <w:r>
        <w:t>p</w:t>
      </w:r>
      <w:r w:rsidR="0016400B" w:rsidRPr="007E6FED">
        <w:t xml:space="preserve">rovision to the utility distribution company (UDC) of grid information which is collected using DERs and which </w:t>
      </w:r>
      <w:r>
        <w:t xml:space="preserve">meets </w:t>
      </w:r>
      <w:r w:rsidR="0016400B">
        <w:t>the following conditions:</w:t>
      </w:r>
      <w:r>
        <w:t xml:space="preserve"> 1) the information</w:t>
      </w:r>
      <w:r w:rsidR="0016400B">
        <w:t xml:space="preserve"> meet</w:t>
      </w:r>
      <w:r>
        <w:t>s a</w:t>
      </w:r>
      <w:r w:rsidR="0016400B" w:rsidRPr="007E6FED">
        <w:t xml:space="preserve"> specified </w:t>
      </w:r>
      <w:r w:rsidR="0016400B">
        <w:t xml:space="preserve">grid </w:t>
      </w:r>
      <w:r w:rsidR="0016400B" w:rsidRPr="007E6FED">
        <w:t xml:space="preserve">need </w:t>
      </w:r>
      <w:r w:rsidR="0016400B">
        <w:t>for which the IOUs are planning an investment</w:t>
      </w:r>
      <w:r>
        <w:t>, 2) t</w:t>
      </w:r>
      <w:r w:rsidR="0016400B">
        <w:t xml:space="preserve">he </w:t>
      </w:r>
      <w:r>
        <w:t>information</w:t>
      </w:r>
      <w:r w:rsidR="0016400B">
        <w:t xml:space="preserve"> meets the data</w:t>
      </w:r>
      <w:r w:rsidR="0016400B" w:rsidRPr="007E6FED">
        <w:t xml:space="preserve"> requirements </w:t>
      </w:r>
      <w:r w:rsidR="0016400B">
        <w:t xml:space="preserve">as specified by the IOU </w:t>
      </w:r>
      <w:r>
        <w:t xml:space="preserve">(e.g. </w:t>
      </w:r>
      <w:r w:rsidR="0016400B" w:rsidRPr="007E6FED">
        <w:t>for data type, detail, frequency, location, voltage level, security, completeness, etc.)</w:t>
      </w:r>
      <w:r>
        <w:t>,</w:t>
      </w:r>
      <w:r w:rsidR="0016400B" w:rsidRPr="007E6FED">
        <w:t xml:space="preserve"> and</w:t>
      </w:r>
      <w:r>
        <w:t xml:space="preserve"> 3) the information is not already required to be provided by the DER (e.g. as a requirement to interconnect). </w:t>
      </w:r>
    </w:p>
    <w:p w14:paraId="3AF503D5" w14:textId="77777777" w:rsidR="00C65298" w:rsidRDefault="00C65298" w:rsidP="00321F32">
      <w:pPr>
        <w:spacing w:after="0"/>
      </w:pPr>
    </w:p>
    <w:p w14:paraId="331E10B5" w14:textId="3A40A067" w:rsidR="00C65298" w:rsidRDefault="00C65298" w:rsidP="00C65298">
      <w:pPr>
        <w:spacing w:after="0"/>
      </w:pPr>
      <w:r>
        <w:t xml:space="preserve">The IOUs propose to </w:t>
      </w:r>
      <w:r w:rsidR="00EF14B9">
        <w:t>v</w:t>
      </w:r>
      <w:r w:rsidR="0016400B">
        <w:t xml:space="preserve">alue Situational Awareness </w:t>
      </w:r>
      <w:r>
        <w:t>DER services, as defined above, consistent with other distribution services.  T</w:t>
      </w:r>
      <w:r w:rsidR="0016400B" w:rsidRPr="007E6FED">
        <w:t>he value of this service is equal to the avoided RRQ of deferring the otherwise-needed capital investment calculated using the Real Economic Carrying Charge (RECC) method, or equal to the avoided RRQ associated with an expense that would otherwise be incurred to meet the same need.</w:t>
      </w:r>
      <w:r w:rsidR="0016400B">
        <w:t xml:space="preserve">  </w:t>
      </w:r>
    </w:p>
    <w:p w14:paraId="29F5D5D1" w14:textId="77777777" w:rsidR="00C65298" w:rsidRDefault="00C65298" w:rsidP="00C65298">
      <w:pPr>
        <w:spacing w:after="0"/>
      </w:pPr>
    </w:p>
    <w:p w14:paraId="4D24677E" w14:textId="77CC0B24" w:rsidR="0016400B" w:rsidRDefault="0016400B" w:rsidP="00C65298">
      <w:pPr>
        <w:spacing w:after="0"/>
      </w:pPr>
      <w:r>
        <w:t>In the absence of a defined need</w:t>
      </w:r>
      <w:r w:rsidR="00BC0302">
        <w:t xml:space="preserve"> (i.e. the first condition is not met)</w:t>
      </w:r>
      <w:r>
        <w:t>, there is no cost</w:t>
      </w:r>
      <w:r w:rsidR="00BC0302">
        <w:t xml:space="preserve"> to be avoided</w:t>
      </w:r>
      <w:r>
        <w:t>, and thus no value attributed to the</w:t>
      </w:r>
      <w:r w:rsidR="00BC0302">
        <w:t xml:space="preserve"> data from a</w:t>
      </w:r>
      <w:r>
        <w:t xml:space="preserve"> DER</w:t>
      </w:r>
      <w:r w:rsidR="00BC0302">
        <w:t xml:space="preserve">.  </w:t>
      </w:r>
      <w:r>
        <w:t>Similarly, if the information provided by the DER does not meet the IOU’s need</w:t>
      </w:r>
      <w:r w:rsidR="00BC0302">
        <w:t>s (i.e. the second condition is not met)</w:t>
      </w:r>
      <w:r>
        <w:t xml:space="preserve">, there is no avoided cost, and thus no value attributed to the </w:t>
      </w:r>
      <w:r w:rsidR="00BC0302">
        <w:t xml:space="preserve">data from </w:t>
      </w:r>
      <w:r>
        <w:t xml:space="preserve">DER.  Finally, </w:t>
      </w:r>
      <w:r w:rsidR="00D16C49">
        <w:t xml:space="preserve">if data </w:t>
      </w:r>
      <w:r w:rsidR="004A38AE">
        <w:t>is</w:t>
      </w:r>
      <w:r w:rsidR="00D16C49">
        <w:t xml:space="preserve"> already required for a DER to</w:t>
      </w:r>
      <w:r w:rsidR="004A38AE">
        <w:t xml:space="preserve"> operate</w:t>
      </w:r>
      <w:r w:rsidR="00D16C49">
        <w:t xml:space="preserve"> safely and reliably</w:t>
      </w:r>
      <w:r w:rsidR="004A38AE">
        <w:t xml:space="preserve"> while</w:t>
      </w:r>
      <w:r w:rsidR="00D16C49">
        <w:t xml:space="preserve"> connect</w:t>
      </w:r>
      <w:r w:rsidR="004A38AE">
        <w:t>ed</w:t>
      </w:r>
      <w:r w:rsidR="00D16C49">
        <w:t xml:space="preserve"> to the distribution system or to receive incentives (i.e. the third condition is not met), additional </w:t>
      </w:r>
      <w:r>
        <w:t>compensat</w:t>
      </w:r>
      <w:r w:rsidR="00D16C49">
        <w:t xml:space="preserve">ion for that minimally-required data is not appropriate as there is no incremental value. </w:t>
      </w:r>
    </w:p>
    <w:p w14:paraId="348FAF2F" w14:textId="77777777" w:rsidR="00062F4C" w:rsidRDefault="00062F4C" w:rsidP="00D04B9A">
      <w:pPr>
        <w:pStyle w:val="ListParagraph"/>
        <w:spacing w:after="0"/>
        <w:ind w:left="768"/>
      </w:pPr>
    </w:p>
    <w:p w14:paraId="07407418" w14:textId="2B53B2AF" w:rsidR="00062F4C" w:rsidRDefault="00D16C49" w:rsidP="00D04B9A">
      <w:pPr>
        <w:pStyle w:val="Heading1"/>
        <w:spacing w:before="0"/>
      </w:pPr>
      <w:r>
        <w:t>Key Questions Remain</w:t>
      </w:r>
    </w:p>
    <w:p w14:paraId="1AD0F826" w14:textId="29969E7E" w:rsidR="00A914F2" w:rsidRDefault="00D16C49" w:rsidP="00D16C49">
      <w:pPr>
        <w:spacing w:after="0"/>
      </w:pPr>
      <w:r>
        <w:t xml:space="preserve">Although the Joint IOUs </w:t>
      </w:r>
      <w:r w:rsidR="00323EF6">
        <w:t>proposal adds more detail to this DER service, k</w:t>
      </w:r>
      <w:r w:rsidR="002754ED">
        <w:t>ey questions remain:</w:t>
      </w:r>
    </w:p>
    <w:p w14:paraId="57672DB9" w14:textId="77777777" w:rsidR="00851D50" w:rsidRPr="002754ED" w:rsidRDefault="009D35FA" w:rsidP="00323EF6">
      <w:pPr>
        <w:pStyle w:val="ListParagraph"/>
        <w:numPr>
          <w:ilvl w:val="0"/>
          <w:numId w:val="9"/>
        </w:numPr>
      </w:pPr>
      <w:r w:rsidRPr="002754ED">
        <w:t>What data collection costs can be avoided by DERs?</w:t>
      </w:r>
    </w:p>
    <w:p w14:paraId="2C51EC59" w14:textId="77777777" w:rsidR="00851D50" w:rsidRPr="002754ED" w:rsidRDefault="009D35FA" w:rsidP="00F17EF8">
      <w:pPr>
        <w:pStyle w:val="ListParagraph"/>
        <w:numPr>
          <w:ilvl w:val="1"/>
          <w:numId w:val="9"/>
        </w:numPr>
        <w:ind w:hanging="252"/>
      </w:pPr>
      <w:r w:rsidRPr="002754ED">
        <w:t xml:space="preserve">This is not a typical service today. It is not clear which of today’s costs can be avoided, if any. For example, data from DERs may not provide sufficient coverage to meet needs: If an IOU has a need for information on conditions on the distribution primary system, then customer-sited DERs on the secondary system are unlikely to be able to provide this. </w:t>
      </w:r>
    </w:p>
    <w:p w14:paraId="5DE4D983" w14:textId="77777777" w:rsidR="00851D50" w:rsidRPr="002754ED" w:rsidRDefault="009D35FA" w:rsidP="00323EF6">
      <w:pPr>
        <w:pStyle w:val="ListParagraph"/>
        <w:numPr>
          <w:ilvl w:val="0"/>
          <w:numId w:val="9"/>
        </w:numPr>
      </w:pPr>
      <w:r w:rsidRPr="002754ED">
        <w:t>Are there hidden costs of using DERs to provide grid data?</w:t>
      </w:r>
    </w:p>
    <w:p w14:paraId="2F7965DC" w14:textId="77777777" w:rsidR="00851D50" w:rsidRPr="002754ED" w:rsidRDefault="009D35FA" w:rsidP="00F17EF8">
      <w:pPr>
        <w:pStyle w:val="ListParagraph"/>
        <w:numPr>
          <w:ilvl w:val="1"/>
          <w:numId w:val="9"/>
        </w:numPr>
        <w:ind w:hanging="252"/>
      </w:pPr>
      <w:r w:rsidRPr="002754ED">
        <w:t>For example, data from new SCADA devices are easily integrated into existing UDC systems and tools; integrating data from non-SCADA, third-party devices may require additional hardware or software investment that should be accounted for when evaluating the least-cost solution.</w:t>
      </w:r>
    </w:p>
    <w:p w14:paraId="5F4578A5" w14:textId="77777777" w:rsidR="00851D50" w:rsidRPr="002754ED" w:rsidRDefault="009D35FA" w:rsidP="00323EF6">
      <w:pPr>
        <w:pStyle w:val="ListParagraph"/>
        <w:numPr>
          <w:ilvl w:val="0"/>
          <w:numId w:val="9"/>
        </w:numPr>
      </w:pPr>
      <w:r w:rsidRPr="002754ED">
        <w:t>What are the minimum interconnection requirements for smart-inverter-based DERs?</w:t>
      </w:r>
    </w:p>
    <w:p w14:paraId="073235F9" w14:textId="1703B269" w:rsidR="00851D50" w:rsidRPr="002754ED" w:rsidRDefault="009D35FA" w:rsidP="00F17EF8">
      <w:pPr>
        <w:pStyle w:val="ListParagraph"/>
        <w:numPr>
          <w:ilvl w:val="1"/>
          <w:numId w:val="9"/>
        </w:numPr>
        <w:ind w:hanging="252"/>
      </w:pPr>
      <w:bookmarkStart w:id="0" w:name="_GoBack"/>
      <w:bookmarkEnd w:id="0"/>
      <w:r w:rsidRPr="002754ED">
        <w:lastRenderedPageBreak/>
        <w:t>Some DERs (e.g. Large DG) are already required to have SCADA and generation meters to interconnect. At this time, the minimum requirements for smart-inverter-based DERs are still in development, including data-related requirements.</w:t>
      </w:r>
    </w:p>
    <w:p w14:paraId="54EF6EC0" w14:textId="33E46AE2" w:rsidR="00E00E30" w:rsidRDefault="00FF6ED8" w:rsidP="00A914F2">
      <w:pPr>
        <w:pStyle w:val="ListParagraph"/>
        <w:numPr>
          <w:ilvl w:val="0"/>
          <w:numId w:val="9"/>
        </w:numPr>
        <w:spacing w:after="0"/>
      </w:pPr>
      <w:r>
        <w:t>Should the DERs simply solicit and offer data services to utilities through normal market functions instead of being assessed as being of higher value in the LNBA because they have data? If DERS have data of value there is nothing preventing them from selling it to utilities as separate service.</w:t>
      </w:r>
    </w:p>
    <w:sectPr w:rsidR="00E00E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78B3CD" w14:textId="77777777" w:rsidR="00E202ED" w:rsidRDefault="00E202ED" w:rsidP="005A228A">
      <w:pPr>
        <w:spacing w:after="0" w:line="240" w:lineRule="auto"/>
      </w:pPr>
      <w:r>
        <w:separator/>
      </w:r>
    </w:p>
  </w:endnote>
  <w:endnote w:type="continuationSeparator" w:id="0">
    <w:p w14:paraId="3990BCC5" w14:textId="77777777" w:rsidR="00E202ED" w:rsidRDefault="00E202ED" w:rsidP="005A2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4B0BDB" w14:textId="77777777" w:rsidR="00E202ED" w:rsidRDefault="00E202ED" w:rsidP="005A228A">
      <w:pPr>
        <w:spacing w:after="0" w:line="240" w:lineRule="auto"/>
      </w:pPr>
      <w:r>
        <w:separator/>
      </w:r>
    </w:p>
  </w:footnote>
  <w:footnote w:type="continuationSeparator" w:id="0">
    <w:p w14:paraId="2052D7EE" w14:textId="77777777" w:rsidR="00E202ED" w:rsidRDefault="00E202ED" w:rsidP="005A228A">
      <w:pPr>
        <w:spacing w:after="0" w:line="240" w:lineRule="auto"/>
      </w:pPr>
      <w:r>
        <w:continuationSeparator/>
      </w:r>
    </w:p>
  </w:footnote>
  <w:footnote w:id="1">
    <w:p w14:paraId="6BA71BFC" w14:textId="0BBECD97" w:rsidR="005B411A" w:rsidRDefault="005B411A">
      <w:pPr>
        <w:pStyle w:val="FootnoteText"/>
      </w:pPr>
      <w:r>
        <w:rPr>
          <w:rStyle w:val="FootnoteReference"/>
        </w:rPr>
        <w:footnoteRef/>
      </w:r>
      <w:r>
        <w:t xml:space="preserve"> </w:t>
      </w:r>
      <w:hyperlink r:id="rId1" w:history="1">
        <w:r w:rsidRPr="007E6FED">
          <w:rPr>
            <w:rStyle w:val="Hyperlink"/>
          </w:rPr>
          <w:t>http://drpwg.org/wp-content/uploads/2016/07/2016-08-01-CSFWG-Final-Report-Joint-Competitive-Solicitation-Framework-Working-Group.pdf</w:t>
        </w:r>
      </w:hyperlink>
    </w:p>
  </w:footnote>
  <w:footnote w:id="2">
    <w:p w14:paraId="5EDBB75C" w14:textId="77777777" w:rsidR="005B411A" w:rsidRDefault="005B411A" w:rsidP="005B411A">
      <w:pPr>
        <w:pStyle w:val="FootnoteText"/>
      </w:pPr>
      <w:r>
        <w:rPr>
          <w:rStyle w:val="FootnoteReference"/>
        </w:rPr>
        <w:footnoteRef/>
      </w:r>
      <w:r>
        <w:t xml:space="preserve"> </w:t>
      </w:r>
      <w:hyperlink r:id="rId2" w:history="1">
        <w:r w:rsidRPr="002E6A87">
          <w:rPr>
            <w:rStyle w:val="Hyperlink"/>
          </w:rPr>
          <w:t>http://drpwg.org/wp-content/uploads/2016/07/189819375_ACR_06.08.17.pdf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CE40F8"/>
    <w:multiLevelType w:val="multilevel"/>
    <w:tmpl w:val="7B0609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 w15:restartNumberingAfterBreak="0">
    <w:nsid w:val="2A037CC0"/>
    <w:multiLevelType w:val="hybridMultilevel"/>
    <w:tmpl w:val="662622C2"/>
    <w:lvl w:ilvl="0" w:tplc="CE96E166">
      <w:start w:val="1"/>
      <w:numFmt w:val="bullet"/>
      <w:lvlText w:val="–"/>
      <w:lvlJc w:val="left"/>
      <w:pPr>
        <w:tabs>
          <w:tab w:val="num" w:pos="720"/>
        </w:tabs>
        <w:ind w:left="720" w:hanging="360"/>
      </w:pPr>
      <w:rPr>
        <w:rFonts w:ascii="Arial" w:hAnsi="Arial" w:hint="default"/>
      </w:rPr>
    </w:lvl>
    <w:lvl w:ilvl="1" w:tplc="956A6882">
      <w:start w:val="1"/>
      <w:numFmt w:val="bullet"/>
      <w:lvlText w:val="–"/>
      <w:lvlJc w:val="left"/>
      <w:pPr>
        <w:tabs>
          <w:tab w:val="num" w:pos="1440"/>
        </w:tabs>
        <w:ind w:left="1440" w:hanging="360"/>
      </w:pPr>
      <w:rPr>
        <w:rFonts w:ascii="Arial" w:hAnsi="Arial" w:hint="default"/>
      </w:rPr>
    </w:lvl>
    <w:lvl w:ilvl="2" w:tplc="C128929E">
      <w:start w:val="789"/>
      <w:numFmt w:val="bullet"/>
      <w:lvlText w:val="•"/>
      <w:lvlJc w:val="left"/>
      <w:pPr>
        <w:tabs>
          <w:tab w:val="num" w:pos="2160"/>
        </w:tabs>
        <w:ind w:left="2160" w:hanging="360"/>
      </w:pPr>
      <w:rPr>
        <w:rFonts w:ascii="Arial" w:hAnsi="Arial" w:hint="default"/>
      </w:rPr>
    </w:lvl>
    <w:lvl w:ilvl="3" w:tplc="384C3302" w:tentative="1">
      <w:start w:val="1"/>
      <w:numFmt w:val="bullet"/>
      <w:lvlText w:val="–"/>
      <w:lvlJc w:val="left"/>
      <w:pPr>
        <w:tabs>
          <w:tab w:val="num" w:pos="2880"/>
        </w:tabs>
        <w:ind w:left="2880" w:hanging="360"/>
      </w:pPr>
      <w:rPr>
        <w:rFonts w:ascii="Arial" w:hAnsi="Arial" w:hint="default"/>
      </w:rPr>
    </w:lvl>
    <w:lvl w:ilvl="4" w:tplc="4A40EC50" w:tentative="1">
      <w:start w:val="1"/>
      <w:numFmt w:val="bullet"/>
      <w:lvlText w:val="–"/>
      <w:lvlJc w:val="left"/>
      <w:pPr>
        <w:tabs>
          <w:tab w:val="num" w:pos="3600"/>
        </w:tabs>
        <w:ind w:left="3600" w:hanging="360"/>
      </w:pPr>
      <w:rPr>
        <w:rFonts w:ascii="Arial" w:hAnsi="Arial" w:hint="default"/>
      </w:rPr>
    </w:lvl>
    <w:lvl w:ilvl="5" w:tplc="79F2AC56" w:tentative="1">
      <w:start w:val="1"/>
      <w:numFmt w:val="bullet"/>
      <w:lvlText w:val="–"/>
      <w:lvlJc w:val="left"/>
      <w:pPr>
        <w:tabs>
          <w:tab w:val="num" w:pos="4320"/>
        </w:tabs>
        <w:ind w:left="4320" w:hanging="360"/>
      </w:pPr>
      <w:rPr>
        <w:rFonts w:ascii="Arial" w:hAnsi="Arial" w:hint="default"/>
      </w:rPr>
    </w:lvl>
    <w:lvl w:ilvl="6" w:tplc="0A886A8E" w:tentative="1">
      <w:start w:val="1"/>
      <w:numFmt w:val="bullet"/>
      <w:lvlText w:val="–"/>
      <w:lvlJc w:val="left"/>
      <w:pPr>
        <w:tabs>
          <w:tab w:val="num" w:pos="5040"/>
        </w:tabs>
        <w:ind w:left="5040" w:hanging="360"/>
      </w:pPr>
      <w:rPr>
        <w:rFonts w:ascii="Arial" w:hAnsi="Arial" w:hint="default"/>
      </w:rPr>
    </w:lvl>
    <w:lvl w:ilvl="7" w:tplc="5C1CF97C" w:tentative="1">
      <w:start w:val="1"/>
      <w:numFmt w:val="bullet"/>
      <w:lvlText w:val="–"/>
      <w:lvlJc w:val="left"/>
      <w:pPr>
        <w:tabs>
          <w:tab w:val="num" w:pos="5760"/>
        </w:tabs>
        <w:ind w:left="5760" w:hanging="360"/>
      </w:pPr>
      <w:rPr>
        <w:rFonts w:ascii="Arial" w:hAnsi="Arial" w:hint="default"/>
      </w:rPr>
    </w:lvl>
    <w:lvl w:ilvl="8" w:tplc="BCE417A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5A3015"/>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F40E60"/>
    <w:multiLevelType w:val="multilevel"/>
    <w:tmpl w:val="7B0609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725266"/>
    <w:multiLevelType w:val="hybridMultilevel"/>
    <w:tmpl w:val="C1F0B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CB0C6A"/>
    <w:multiLevelType w:val="multilevel"/>
    <w:tmpl w:val="D81AF254"/>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E6205BC"/>
    <w:multiLevelType w:val="multilevel"/>
    <w:tmpl w:val="7B0609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
  </w:num>
  <w:num w:numId="3">
    <w:abstractNumId w:val="5"/>
  </w:num>
  <w:num w:numId="4">
    <w:abstractNumId w:val="7"/>
  </w:num>
  <w:num w:numId="5">
    <w:abstractNumId w:val="4"/>
  </w:num>
  <w:num w:numId="6">
    <w:abstractNumId w:val="6"/>
  </w:num>
  <w:num w:numId="7">
    <w:abstractNumId w:val="1"/>
  </w:num>
  <w:num w:numId="8">
    <w:abstractNumId w:val="9"/>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078BC"/>
    <w:rsid w:val="0001417A"/>
    <w:rsid w:val="00044A11"/>
    <w:rsid w:val="00062F4C"/>
    <w:rsid w:val="00074EA1"/>
    <w:rsid w:val="00085335"/>
    <w:rsid w:val="00094281"/>
    <w:rsid w:val="000A7E5C"/>
    <w:rsid w:val="000B0E8A"/>
    <w:rsid w:val="00137A46"/>
    <w:rsid w:val="0016400B"/>
    <w:rsid w:val="00165AD7"/>
    <w:rsid w:val="00174199"/>
    <w:rsid w:val="001761AF"/>
    <w:rsid w:val="001B6998"/>
    <w:rsid w:val="001D191B"/>
    <w:rsid w:val="001E426F"/>
    <w:rsid w:val="001E6EAE"/>
    <w:rsid w:val="00235C67"/>
    <w:rsid w:val="0026134F"/>
    <w:rsid w:val="0026768F"/>
    <w:rsid w:val="002754ED"/>
    <w:rsid w:val="002A45AD"/>
    <w:rsid w:val="002C43D8"/>
    <w:rsid w:val="0031068E"/>
    <w:rsid w:val="00314E76"/>
    <w:rsid w:val="00321F32"/>
    <w:rsid w:val="00323EF6"/>
    <w:rsid w:val="0037263B"/>
    <w:rsid w:val="00383277"/>
    <w:rsid w:val="003A0E16"/>
    <w:rsid w:val="003A2AFB"/>
    <w:rsid w:val="003B45D9"/>
    <w:rsid w:val="003D41DC"/>
    <w:rsid w:val="003F70F3"/>
    <w:rsid w:val="00400658"/>
    <w:rsid w:val="0046692D"/>
    <w:rsid w:val="00477FB8"/>
    <w:rsid w:val="004A38AE"/>
    <w:rsid w:val="00544CA4"/>
    <w:rsid w:val="0057298B"/>
    <w:rsid w:val="005909F1"/>
    <w:rsid w:val="005A228A"/>
    <w:rsid w:val="005B411A"/>
    <w:rsid w:val="005F4744"/>
    <w:rsid w:val="006000D8"/>
    <w:rsid w:val="006260A6"/>
    <w:rsid w:val="00697759"/>
    <w:rsid w:val="006B3453"/>
    <w:rsid w:val="007012FD"/>
    <w:rsid w:val="007118F2"/>
    <w:rsid w:val="0071724F"/>
    <w:rsid w:val="007C45EA"/>
    <w:rsid w:val="007D08F5"/>
    <w:rsid w:val="007E6FED"/>
    <w:rsid w:val="00804420"/>
    <w:rsid w:val="00851D50"/>
    <w:rsid w:val="00894790"/>
    <w:rsid w:val="008D576B"/>
    <w:rsid w:val="008E1652"/>
    <w:rsid w:val="009659EA"/>
    <w:rsid w:val="009D35FA"/>
    <w:rsid w:val="00A06354"/>
    <w:rsid w:val="00A165D4"/>
    <w:rsid w:val="00A521B0"/>
    <w:rsid w:val="00A741DE"/>
    <w:rsid w:val="00A90AC9"/>
    <w:rsid w:val="00A914F2"/>
    <w:rsid w:val="00AA0E02"/>
    <w:rsid w:val="00AB3939"/>
    <w:rsid w:val="00AC00D6"/>
    <w:rsid w:val="00AF0897"/>
    <w:rsid w:val="00B11494"/>
    <w:rsid w:val="00B46EE7"/>
    <w:rsid w:val="00B54961"/>
    <w:rsid w:val="00B979A0"/>
    <w:rsid w:val="00BC0302"/>
    <w:rsid w:val="00BC26B9"/>
    <w:rsid w:val="00BE3475"/>
    <w:rsid w:val="00BE72F5"/>
    <w:rsid w:val="00C02F07"/>
    <w:rsid w:val="00C105A6"/>
    <w:rsid w:val="00C12A1C"/>
    <w:rsid w:val="00C14652"/>
    <w:rsid w:val="00C5565C"/>
    <w:rsid w:val="00C65298"/>
    <w:rsid w:val="00CA71AF"/>
    <w:rsid w:val="00CD2146"/>
    <w:rsid w:val="00CE39C5"/>
    <w:rsid w:val="00D04B9A"/>
    <w:rsid w:val="00D16C49"/>
    <w:rsid w:val="00D46D88"/>
    <w:rsid w:val="00D62DC0"/>
    <w:rsid w:val="00D636D8"/>
    <w:rsid w:val="00D9146A"/>
    <w:rsid w:val="00DA043F"/>
    <w:rsid w:val="00DE19C7"/>
    <w:rsid w:val="00DF6BEC"/>
    <w:rsid w:val="00E00E30"/>
    <w:rsid w:val="00E15963"/>
    <w:rsid w:val="00E202ED"/>
    <w:rsid w:val="00E52920"/>
    <w:rsid w:val="00E5457F"/>
    <w:rsid w:val="00EB512F"/>
    <w:rsid w:val="00EC57A5"/>
    <w:rsid w:val="00EF14B9"/>
    <w:rsid w:val="00F01ECF"/>
    <w:rsid w:val="00F17EF8"/>
    <w:rsid w:val="00F20D03"/>
    <w:rsid w:val="00F6426B"/>
    <w:rsid w:val="00F839CC"/>
    <w:rsid w:val="00FA4A8D"/>
    <w:rsid w:val="00FE6DA1"/>
    <w:rsid w:val="00FF1CA2"/>
    <w:rsid w:val="00FF40C4"/>
    <w:rsid w:val="00FF6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0B970FD5-9F24-407A-9896-80B3CF4CB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character" w:styleId="Hyperlink">
    <w:name w:val="Hyperlink"/>
    <w:basedOn w:val="DefaultParagraphFont"/>
    <w:uiPriority w:val="99"/>
    <w:unhideWhenUsed/>
    <w:rsid w:val="001D191B"/>
    <w:rPr>
      <w:color w:val="0563C1" w:themeColor="hyperlink"/>
      <w:u w:val="single"/>
    </w:rPr>
  </w:style>
  <w:style w:type="character" w:styleId="FollowedHyperlink">
    <w:name w:val="FollowedHyperlink"/>
    <w:basedOn w:val="DefaultParagraphFont"/>
    <w:uiPriority w:val="99"/>
    <w:semiHidden/>
    <w:unhideWhenUsed/>
    <w:rsid w:val="00E00E30"/>
    <w:rPr>
      <w:color w:val="954F72" w:themeColor="followedHyperlink"/>
      <w:u w:val="single"/>
    </w:rPr>
  </w:style>
  <w:style w:type="paragraph" w:styleId="FootnoteText">
    <w:name w:val="footnote text"/>
    <w:basedOn w:val="Normal"/>
    <w:link w:val="FootnoteTextChar"/>
    <w:uiPriority w:val="99"/>
    <w:semiHidden/>
    <w:unhideWhenUsed/>
    <w:rsid w:val="005A22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228A"/>
    <w:rPr>
      <w:sz w:val="20"/>
      <w:szCs w:val="20"/>
    </w:rPr>
  </w:style>
  <w:style w:type="character" w:styleId="FootnoteReference">
    <w:name w:val="footnote reference"/>
    <w:basedOn w:val="DefaultParagraphFont"/>
    <w:uiPriority w:val="99"/>
    <w:semiHidden/>
    <w:unhideWhenUsed/>
    <w:rsid w:val="005A228A"/>
    <w:rPr>
      <w:vertAlign w:val="superscript"/>
    </w:rPr>
  </w:style>
  <w:style w:type="paragraph" w:styleId="BalloonText">
    <w:name w:val="Balloon Text"/>
    <w:basedOn w:val="Normal"/>
    <w:link w:val="BalloonTextChar"/>
    <w:uiPriority w:val="99"/>
    <w:semiHidden/>
    <w:unhideWhenUsed/>
    <w:rsid w:val="00EC57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7A5"/>
    <w:rPr>
      <w:rFonts w:ascii="Tahoma" w:hAnsi="Tahoma" w:cs="Tahoma"/>
      <w:sz w:val="16"/>
      <w:szCs w:val="16"/>
    </w:rPr>
  </w:style>
  <w:style w:type="character" w:styleId="CommentReference">
    <w:name w:val="annotation reference"/>
    <w:basedOn w:val="DefaultParagraphFont"/>
    <w:uiPriority w:val="99"/>
    <w:semiHidden/>
    <w:unhideWhenUsed/>
    <w:rsid w:val="002A45AD"/>
    <w:rPr>
      <w:sz w:val="16"/>
      <w:szCs w:val="16"/>
    </w:rPr>
  </w:style>
  <w:style w:type="paragraph" w:styleId="CommentText">
    <w:name w:val="annotation text"/>
    <w:basedOn w:val="Normal"/>
    <w:link w:val="CommentTextChar"/>
    <w:uiPriority w:val="99"/>
    <w:semiHidden/>
    <w:unhideWhenUsed/>
    <w:rsid w:val="002A45AD"/>
    <w:pPr>
      <w:spacing w:line="240" w:lineRule="auto"/>
    </w:pPr>
    <w:rPr>
      <w:sz w:val="20"/>
      <w:szCs w:val="20"/>
    </w:rPr>
  </w:style>
  <w:style w:type="character" w:customStyle="1" w:styleId="CommentTextChar">
    <w:name w:val="Comment Text Char"/>
    <w:basedOn w:val="DefaultParagraphFont"/>
    <w:link w:val="CommentText"/>
    <w:uiPriority w:val="99"/>
    <w:semiHidden/>
    <w:rsid w:val="002A45AD"/>
    <w:rPr>
      <w:sz w:val="20"/>
      <w:szCs w:val="20"/>
    </w:rPr>
  </w:style>
  <w:style w:type="paragraph" w:styleId="CommentSubject">
    <w:name w:val="annotation subject"/>
    <w:basedOn w:val="CommentText"/>
    <w:next w:val="CommentText"/>
    <w:link w:val="CommentSubjectChar"/>
    <w:uiPriority w:val="99"/>
    <w:semiHidden/>
    <w:unhideWhenUsed/>
    <w:rsid w:val="002A45AD"/>
    <w:rPr>
      <w:b/>
      <w:bCs/>
    </w:rPr>
  </w:style>
  <w:style w:type="character" w:customStyle="1" w:styleId="CommentSubjectChar">
    <w:name w:val="Comment Subject Char"/>
    <w:basedOn w:val="CommentTextChar"/>
    <w:link w:val="CommentSubject"/>
    <w:uiPriority w:val="99"/>
    <w:semiHidden/>
    <w:rsid w:val="002A45AD"/>
    <w:rPr>
      <w:b/>
      <w:bCs/>
      <w:sz w:val="20"/>
      <w:szCs w:val="20"/>
    </w:rPr>
  </w:style>
  <w:style w:type="paragraph" w:styleId="Revision">
    <w:name w:val="Revision"/>
    <w:hidden/>
    <w:uiPriority w:val="99"/>
    <w:semiHidden/>
    <w:rsid w:val="002A45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07766">
      <w:bodyDiv w:val="1"/>
      <w:marLeft w:val="0"/>
      <w:marRight w:val="0"/>
      <w:marTop w:val="0"/>
      <w:marBottom w:val="0"/>
      <w:divBdr>
        <w:top w:val="none" w:sz="0" w:space="0" w:color="auto"/>
        <w:left w:val="none" w:sz="0" w:space="0" w:color="auto"/>
        <w:bottom w:val="none" w:sz="0" w:space="0" w:color="auto"/>
        <w:right w:val="none" w:sz="0" w:space="0" w:color="auto"/>
      </w:divBdr>
      <w:divsChild>
        <w:div w:id="917904648">
          <w:marLeft w:val="1166"/>
          <w:marRight w:val="0"/>
          <w:marTop w:val="67"/>
          <w:marBottom w:val="0"/>
          <w:divBdr>
            <w:top w:val="none" w:sz="0" w:space="0" w:color="auto"/>
            <w:left w:val="none" w:sz="0" w:space="0" w:color="auto"/>
            <w:bottom w:val="none" w:sz="0" w:space="0" w:color="auto"/>
            <w:right w:val="none" w:sz="0" w:space="0" w:color="auto"/>
          </w:divBdr>
        </w:div>
        <w:div w:id="596989727">
          <w:marLeft w:val="1800"/>
          <w:marRight w:val="0"/>
          <w:marTop w:val="67"/>
          <w:marBottom w:val="0"/>
          <w:divBdr>
            <w:top w:val="none" w:sz="0" w:space="0" w:color="auto"/>
            <w:left w:val="none" w:sz="0" w:space="0" w:color="auto"/>
            <w:bottom w:val="none" w:sz="0" w:space="0" w:color="auto"/>
            <w:right w:val="none" w:sz="0" w:space="0" w:color="auto"/>
          </w:divBdr>
        </w:div>
        <w:div w:id="1396201008">
          <w:marLeft w:val="1166"/>
          <w:marRight w:val="0"/>
          <w:marTop w:val="67"/>
          <w:marBottom w:val="0"/>
          <w:divBdr>
            <w:top w:val="none" w:sz="0" w:space="0" w:color="auto"/>
            <w:left w:val="none" w:sz="0" w:space="0" w:color="auto"/>
            <w:bottom w:val="none" w:sz="0" w:space="0" w:color="auto"/>
            <w:right w:val="none" w:sz="0" w:space="0" w:color="auto"/>
          </w:divBdr>
        </w:div>
        <w:div w:id="249702402">
          <w:marLeft w:val="1800"/>
          <w:marRight w:val="0"/>
          <w:marTop w:val="67"/>
          <w:marBottom w:val="0"/>
          <w:divBdr>
            <w:top w:val="none" w:sz="0" w:space="0" w:color="auto"/>
            <w:left w:val="none" w:sz="0" w:space="0" w:color="auto"/>
            <w:bottom w:val="none" w:sz="0" w:space="0" w:color="auto"/>
            <w:right w:val="none" w:sz="0" w:space="0" w:color="auto"/>
          </w:divBdr>
        </w:div>
        <w:div w:id="587926211">
          <w:marLeft w:val="1166"/>
          <w:marRight w:val="0"/>
          <w:marTop w:val="67"/>
          <w:marBottom w:val="0"/>
          <w:divBdr>
            <w:top w:val="none" w:sz="0" w:space="0" w:color="auto"/>
            <w:left w:val="none" w:sz="0" w:space="0" w:color="auto"/>
            <w:bottom w:val="none" w:sz="0" w:space="0" w:color="auto"/>
            <w:right w:val="none" w:sz="0" w:space="0" w:color="auto"/>
          </w:divBdr>
        </w:div>
        <w:div w:id="1476751358">
          <w:marLeft w:val="1800"/>
          <w:marRight w:val="0"/>
          <w:marTop w:val="67"/>
          <w:marBottom w:val="0"/>
          <w:divBdr>
            <w:top w:val="none" w:sz="0" w:space="0" w:color="auto"/>
            <w:left w:val="none" w:sz="0" w:space="0" w:color="auto"/>
            <w:bottom w:val="none" w:sz="0" w:space="0" w:color="auto"/>
            <w:right w:val="none" w:sz="0" w:space="0" w:color="auto"/>
          </w:divBdr>
        </w:div>
      </w:divsChild>
    </w:div>
    <w:div w:id="1222597691">
      <w:bodyDiv w:val="1"/>
      <w:marLeft w:val="0"/>
      <w:marRight w:val="0"/>
      <w:marTop w:val="0"/>
      <w:marBottom w:val="0"/>
      <w:divBdr>
        <w:top w:val="none" w:sz="0" w:space="0" w:color="auto"/>
        <w:left w:val="none" w:sz="0" w:space="0" w:color="auto"/>
        <w:bottom w:val="none" w:sz="0" w:space="0" w:color="auto"/>
        <w:right w:val="none" w:sz="0" w:space="0" w:color="auto"/>
      </w:divBdr>
    </w:div>
    <w:div w:id="1701472594">
      <w:bodyDiv w:val="1"/>
      <w:marLeft w:val="0"/>
      <w:marRight w:val="0"/>
      <w:marTop w:val="0"/>
      <w:marBottom w:val="0"/>
      <w:divBdr>
        <w:top w:val="none" w:sz="0" w:space="0" w:color="auto"/>
        <w:left w:val="none" w:sz="0" w:space="0" w:color="auto"/>
        <w:bottom w:val="none" w:sz="0" w:space="0" w:color="auto"/>
        <w:right w:val="none" w:sz="0" w:space="0" w:color="auto"/>
      </w:divBdr>
    </w:div>
    <w:div w:id="189369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drpwg.org/wp-content/uploads/2016/07/189819375_ACR_06.08.17.pdf" TargetMode="External"/><Relationship Id="rId1" Type="http://schemas.openxmlformats.org/officeDocument/2006/relationships/hyperlink" Target="http://drpwg.org/wp-content/uploads/2016/07/2016-08-01-CSFWG-Final-Report-Joint-Competitive-Solicitation-Framework-Working-Grou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4387D-5B58-4E24-B280-C91290D7F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Pages>
  <Words>820</Words>
  <Characters>4073</Characters>
  <Application>Microsoft Office Word</Application>
  <DocSecurity>0</DocSecurity>
  <Lines>313</Lines>
  <Paragraphs>212</Paragraphs>
  <ScaleCrop>false</ScaleCrop>
  <HeadingPairs>
    <vt:vector size="2" baseType="variant">
      <vt:variant>
        <vt:lpstr>Title</vt:lpstr>
      </vt:variant>
      <vt:variant>
        <vt:i4>1</vt:i4>
      </vt:variant>
    </vt:vector>
  </HeadingPairs>
  <TitlesOfParts>
    <vt:vector size="1" baseType="lpstr">
      <vt:lpstr/>
    </vt:vector>
  </TitlesOfParts>
  <Company>Pacific Gas and Electric</Company>
  <LinksUpToDate>false</LinksUpToDate>
  <CharactersWithSpaces>4681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Castle</dc:creator>
  <cp:lastModifiedBy>David Castle</cp:lastModifiedBy>
  <cp:revision>16</cp:revision>
  <dcterms:created xsi:type="dcterms:W3CDTF">2017-09-26T20:23:00Z</dcterms:created>
  <dcterms:modified xsi:type="dcterms:W3CDTF">2017-09-29T20:25:00Z</dcterms:modified>
</cp:coreProperties>
</file>