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5D6F3" w14:textId="18F982F4" w:rsidR="00062F4C" w:rsidRPr="006B3453" w:rsidRDefault="00062F4C" w:rsidP="00D55C8D">
      <w:pPr>
        <w:pStyle w:val="Title"/>
        <w:rPr>
          <w:sz w:val="48"/>
        </w:rPr>
      </w:pPr>
      <w:r w:rsidRPr="006B3453">
        <w:rPr>
          <w:sz w:val="48"/>
        </w:rPr>
        <w:t xml:space="preserve">Topic </w:t>
      </w:r>
      <w:r w:rsidR="00D55C8D">
        <w:rPr>
          <w:sz w:val="48"/>
        </w:rPr>
        <w:t xml:space="preserve">11: </w:t>
      </w:r>
      <w:r w:rsidR="00D55C8D" w:rsidRPr="00D55C8D">
        <w:rPr>
          <w:sz w:val="48"/>
        </w:rPr>
        <w:t>“Only Use Base DER Growth Scenario, not high growth scenario”</w:t>
      </w:r>
    </w:p>
    <w:p w14:paraId="7D43CA11" w14:textId="6DF235BE" w:rsidR="00062F4C" w:rsidRDefault="00062F4C" w:rsidP="00D55C8D">
      <w:pPr>
        <w:pStyle w:val="Subtitle"/>
        <w:spacing w:after="0"/>
      </w:pPr>
      <w:r>
        <w:t xml:space="preserve">Joint IOUs’ Initial Proposal </w:t>
      </w:r>
    </w:p>
    <w:p w14:paraId="4F879491" w14:textId="77777777" w:rsidR="00D04B9A" w:rsidRDefault="00D04B9A" w:rsidP="00D55C8D">
      <w:pPr>
        <w:pStyle w:val="Subtitle"/>
        <w:spacing w:after="0"/>
      </w:pPr>
      <w:r>
        <w:t>LNBA Working Group</w:t>
      </w:r>
    </w:p>
    <w:p w14:paraId="0E916A7B" w14:textId="77777777" w:rsidR="00D04B9A" w:rsidRDefault="00D04B9A" w:rsidP="00D55C8D">
      <w:pPr>
        <w:spacing w:after="0"/>
      </w:pPr>
    </w:p>
    <w:p w14:paraId="5A6EF65C" w14:textId="77777777" w:rsidR="00062F4C" w:rsidRDefault="00062F4C" w:rsidP="00D55C8D">
      <w:pPr>
        <w:spacing w:after="0"/>
      </w:pPr>
    </w:p>
    <w:p w14:paraId="6DEE1E41" w14:textId="77777777" w:rsidR="00062F4C" w:rsidRDefault="00062F4C" w:rsidP="00D55C8D">
      <w:pPr>
        <w:pStyle w:val="Heading1"/>
        <w:spacing w:before="0"/>
      </w:pPr>
      <w:r>
        <w:t>Summary of Recommendations</w:t>
      </w:r>
    </w:p>
    <w:p w14:paraId="08F896D5" w14:textId="77777777" w:rsidR="00C85D61" w:rsidRPr="00D55C8D" w:rsidRDefault="00E7500A" w:rsidP="00D55C8D">
      <w:pPr>
        <w:pStyle w:val="ListParagraph"/>
        <w:numPr>
          <w:ilvl w:val="0"/>
          <w:numId w:val="1"/>
        </w:numPr>
        <w:spacing w:after="0"/>
      </w:pPr>
      <w:r w:rsidRPr="00D55C8D">
        <w:t>LNBA should remain consistent with distribution planning process</w:t>
      </w:r>
    </w:p>
    <w:p w14:paraId="43BF1A62" w14:textId="77777777" w:rsidR="00C85D61" w:rsidRPr="00D55C8D" w:rsidRDefault="00E7500A" w:rsidP="00D55C8D">
      <w:pPr>
        <w:pStyle w:val="ListParagraph"/>
        <w:numPr>
          <w:ilvl w:val="0"/>
          <w:numId w:val="1"/>
        </w:numPr>
        <w:spacing w:after="0"/>
      </w:pPr>
      <w:r w:rsidRPr="00D55C8D">
        <w:t>When Track 3 has addressed the issue, consider appropriate refinements to LNBA</w:t>
      </w:r>
    </w:p>
    <w:p w14:paraId="630BA6F6" w14:textId="4692CE13" w:rsidR="00062F4C" w:rsidRDefault="00062F4C" w:rsidP="00D55C8D">
      <w:pPr>
        <w:spacing w:after="0"/>
      </w:pPr>
    </w:p>
    <w:p w14:paraId="5111153D" w14:textId="77777777" w:rsidR="00062F4C" w:rsidRDefault="00062F4C" w:rsidP="00D55C8D">
      <w:pPr>
        <w:pStyle w:val="Heading1"/>
        <w:spacing w:before="0"/>
      </w:pPr>
      <w:r>
        <w:t>Introduction and Background</w:t>
      </w:r>
    </w:p>
    <w:p w14:paraId="6EE3CC2A" w14:textId="28833033" w:rsidR="00D55C8D" w:rsidRDefault="00D55C8D" w:rsidP="00D55C8D">
      <w:pPr>
        <w:pStyle w:val="Heading2"/>
        <w:spacing w:before="0"/>
      </w:pPr>
      <w:r>
        <w:t xml:space="preserve">Context in consideration of the Track 1 </w:t>
      </w:r>
      <w:r w:rsidR="008B001F">
        <w:t>Decision</w:t>
      </w:r>
    </w:p>
    <w:p w14:paraId="64CFFC08" w14:textId="27EF8C06" w:rsidR="00D55C8D" w:rsidRDefault="00D55C8D" w:rsidP="00D55C8D">
      <w:pPr>
        <w:spacing w:after="0"/>
      </w:pPr>
      <w:r>
        <w:t xml:space="preserve">The Track 1 </w:t>
      </w:r>
      <w:r w:rsidR="008B001F">
        <w:t>Decision</w:t>
      </w:r>
      <w:r>
        <w:t xml:space="preserve"> also considers use of an additional forecasting scenario. However, as </w:t>
      </w:r>
      <w:r w:rsidR="00A57558">
        <w:t>discussed</w:t>
      </w:r>
      <w:r>
        <w:t xml:space="preserve"> below, this additional scenario is distinct from the use of scenarios under </w:t>
      </w:r>
      <w:r w:rsidR="00A57558">
        <w:t>discussion</w:t>
      </w:r>
      <w:r>
        <w:t xml:space="preserve"> in this </w:t>
      </w:r>
      <w:r w:rsidR="005E7DD7">
        <w:t>i</w:t>
      </w:r>
      <w:r>
        <w:t>tem</w:t>
      </w:r>
      <w:r w:rsidR="005E7DD7">
        <w:t>.</w:t>
      </w:r>
    </w:p>
    <w:p w14:paraId="0CF361CA" w14:textId="77777777" w:rsidR="008B001F" w:rsidRDefault="008B001F" w:rsidP="00D55C8D">
      <w:pPr>
        <w:spacing w:after="0"/>
      </w:pPr>
    </w:p>
    <w:p w14:paraId="0900FAFA" w14:textId="77777777" w:rsidR="00C85D61" w:rsidRPr="00D55C8D" w:rsidRDefault="00E7500A" w:rsidP="00D55C8D">
      <w:pPr>
        <w:pStyle w:val="Heading3"/>
      </w:pPr>
      <w:r w:rsidRPr="00D55C8D">
        <w:t>Long-term Refinement Item 11: use of High Growth Scenario</w:t>
      </w:r>
    </w:p>
    <w:p w14:paraId="75C09ECF" w14:textId="19974493" w:rsidR="00C85D61" w:rsidRDefault="00D55C8D" w:rsidP="00D55C8D">
      <w:pPr>
        <w:spacing w:after="0"/>
      </w:pPr>
      <w:r>
        <w:t>This item c</w:t>
      </w:r>
      <w:r w:rsidR="00E7500A" w:rsidRPr="00D55C8D">
        <w:t>ontemplates analyses of multiple DER scenarios of “expe</w:t>
      </w:r>
      <w:r>
        <w:t>cted” or “potential” outcomes. The p</w:t>
      </w:r>
      <w:r w:rsidR="00E7500A" w:rsidRPr="00D55C8D">
        <w:t xml:space="preserve">urpose is </w:t>
      </w:r>
      <w:r>
        <w:t xml:space="preserve">to develop </w:t>
      </w:r>
      <w:r w:rsidR="00E7500A" w:rsidRPr="00D55C8D">
        <w:t xml:space="preserve">additional analysis and understanding regarding identifying </w:t>
      </w:r>
      <w:r w:rsidR="00E7500A" w:rsidRPr="00D55C8D">
        <w:rPr>
          <w:i/>
          <w:iCs/>
        </w:rPr>
        <w:t>needs that are expected to occur</w:t>
      </w:r>
      <w:r w:rsidR="00E7500A" w:rsidRPr="00D55C8D">
        <w:t>, and investments/solutions for those needs (whether conventional investments or DER solutions)</w:t>
      </w:r>
      <w:r>
        <w:t xml:space="preserve">.  </w:t>
      </w:r>
      <w:r w:rsidR="00061E71">
        <w:t xml:space="preserve">The origin of this item is in Demo B where the IOUs were directed to use both a trajectory DER growth scenario and a “very high” DER growth scenario to develop two different versions of LNBA results. </w:t>
      </w:r>
      <w:r>
        <w:t>This topic is closely r</w:t>
      </w:r>
      <w:r w:rsidR="00E7500A" w:rsidRPr="00D55C8D">
        <w:t xml:space="preserve">elated to issues in Track </w:t>
      </w:r>
      <w:r w:rsidR="00E66387">
        <w:t>3</w:t>
      </w:r>
      <w:r w:rsidR="00E7500A" w:rsidRPr="00D55C8D">
        <w:t xml:space="preserve"> Sub-track 1. </w:t>
      </w:r>
      <w:r>
        <w:t>In particular, see the</w:t>
      </w:r>
      <w:r w:rsidR="00E7500A" w:rsidRPr="00D55C8D">
        <w:t xml:space="preserve"> August 9 ACR, Issue #8: “How the high and low DER growth scenarios may be used in the Grid Needs Assessment</w:t>
      </w:r>
      <w:r w:rsidR="00061E71">
        <w:t>.</w:t>
      </w:r>
      <w:r w:rsidR="00E7500A" w:rsidRPr="00D55C8D">
        <w:t>”</w:t>
      </w:r>
      <w:r>
        <w:t xml:space="preserve"> </w:t>
      </w:r>
    </w:p>
    <w:p w14:paraId="49F365DA" w14:textId="77777777" w:rsidR="008B001F" w:rsidRPr="00D55C8D" w:rsidRDefault="008B001F" w:rsidP="00D55C8D">
      <w:pPr>
        <w:spacing w:after="0"/>
      </w:pPr>
    </w:p>
    <w:p w14:paraId="7999512C" w14:textId="73D429FC" w:rsidR="00C85D61" w:rsidRPr="00D55C8D" w:rsidRDefault="008B001F" w:rsidP="00D55C8D">
      <w:pPr>
        <w:pStyle w:val="Heading3"/>
      </w:pPr>
      <w:r>
        <w:t>Track 1 Decision</w:t>
      </w:r>
      <w:r w:rsidR="00E7500A" w:rsidRPr="00D55C8D">
        <w:t>: new counterfactual analysis to support 3</w:t>
      </w:r>
      <w:r w:rsidR="00E7500A" w:rsidRPr="00D55C8D">
        <w:rPr>
          <w:vertAlign w:val="superscript"/>
        </w:rPr>
        <w:t>rd</w:t>
      </w:r>
      <w:r w:rsidR="00E7500A" w:rsidRPr="00D55C8D">
        <w:t xml:space="preserve"> use case</w:t>
      </w:r>
    </w:p>
    <w:p w14:paraId="742C05F5" w14:textId="2D5B908C" w:rsidR="00C85D61" w:rsidRDefault="00A57558" w:rsidP="00D55C8D">
      <w:pPr>
        <w:spacing w:after="0"/>
      </w:pPr>
      <w:r>
        <w:t>Conversely</w:t>
      </w:r>
      <w:r w:rsidR="00D55C8D">
        <w:t xml:space="preserve">, </w:t>
      </w:r>
      <w:r w:rsidR="008B001F">
        <w:t>the Track 1</w:t>
      </w:r>
      <w:r w:rsidR="008B001F">
        <w:t>Decsion</w:t>
      </w:r>
      <w:r w:rsidR="008B001F">
        <w:t xml:space="preserve"> </w:t>
      </w:r>
      <w:r w:rsidR="00D55C8D">
        <w:t>c</w:t>
      </w:r>
      <w:r w:rsidR="00E7500A" w:rsidRPr="00D55C8D">
        <w:t xml:space="preserve">ontemplates </w:t>
      </w:r>
      <w:r w:rsidR="005E7DD7">
        <w:t xml:space="preserve">a </w:t>
      </w:r>
      <w:r w:rsidR="00E7500A" w:rsidRPr="00D55C8D">
        <w:t xml:space="preserve">counterfactual scenario, a baseline “no </w:t>
      </w:r>
      <w:r w:rsidR="00910C1D">
        <w:t xml:space="preserve">DER </w:t>
      </w:r>
      <w:r w:rsidR="00E7500A" w:rsidRPr="00D55C8D">
        <w:t xml:space="preserve">programs” scenario </w:t>
      </w:r>
      <w:r w:rsidR="00061E71">
        <w:t>which is distinct from a</w:t>
      </w:r>
      <w:r w:rsidR="00E7500A" w:rsidRPr="00D55C8D">
        <w:t xml:space="preserve"> planning forecast.</w:t>
      </w:r>
      <w:r w:rsidR="00D55C8D">
        <w:t xml:space="preserve"> The p</w:t>
      </w:r>
      <w:r w:rsidR="00E7500A" w:rsidRPr="00D55C8D">
        <w:t>urpose is not to determine future needs and investments, but rather to understand “what would have happened” without existing DER programs, solely for purpose of cost-effectiveness analysis of those programs.</w:t>
      </w:r>
    </w:p>
    <w:p w14:paraId="7F0840A1" w14:textId="77777777" w:rsidR="008B001F" w:rsidRPr="00D55C8D" w:rsidRDefault="008B001F" w:rsidP="00D55C8D">
      <w:pPr>
        <w:spacing w:after="0"/>
      </w:pPr>
    </w:p>
    <w:p w14:paraId="5063B5AD" w14:textId="73D8FA77" w:rsidR="00C85D61" w:rsidRDefault="00D55C8D" w:rsidP="00D55C8D">
      <w:pPr>
        <w:pStyle w:val="Heading3"/>
      </w:pPr>
      <w:r>
        <w:t xml:space="preserve">The Working Group </w:t>
      </w:r>
      <w:r w:rsidR="00E7500A" w:rsidRPr="00D55C8D">
        <w:t xml:space="preserve">Focus </w:t>
      </w:r>
      <w:r>
        <w:t>is on Item 11</w:t>
      </w:r>
    </w:p>
    <w:p w14:paraId="5E09EC46" w14:textId="7374111A" w:rsidR="0079460F" w:rsidRDefault="00D55C8D" w:rsidP="00D55C8D">
      <w:pPr>
        <w:spacing w:after="0"/>
      </w:pPr>
      <w:r>
        <w:t xml:space="preserve">As discussed above, there are two </w:t>
      </w:r>
      <w:r w:rsidR="0079460F">
        <w:t>distinct</w:t>
      </w:r>
      <w:r>
        <w:t xml:space="preserve"> questions with respect to Growth Scenarios</w:t>
      </w:r>
      <w:r w:rsidR="0079460F">
        <w:t>:</w:t>
      </w:r>
    </w:p>
    <w:p w14:paraId="7507D9E1" w14:textId="5542391A" w:rsidR="0079460F" w:rsidRDefault="0079460F" w:rsidP="008B001F">
      <w:pPr>
        <w:pStyle w:val="ListParagraph"/>
        <w:numPr>
          <w:ilvl w:val="0"/>
          <w:numId w:val="10"/>
        </w:numPr>
        <w:spacing w:after="0"/>
      </w:pPr>
      <w:r>
        <w:t>S</w:t>
      </w:r>
      <w:r w:rsidR="00D55C8D" w:rsidRPr="00D55C8D">
        <w:t>hould LNBA incorporate multiple growth scenarios to analyze what needs/investments are expected?</w:t>
      </w:r>
    </w:p>
    <w:p w14:paraId="2FDDF59C" w14:textId="6E04E88A" w:rsidR="0079460F" w:rsidRDefault="00E7500A" w:rsidP="008B001F">
      <w:pPr>
        <w:pStyle w:val="ListParagraph"/>
        <w:numPr>
          <w:ilvl w:val="0"/>
          <w:numId w:val="10"/>
        </w:numPr>
        <w:spacing w:after="0"/>
      </w:pPr>
      <w:r w:rsidRPr="00D55C8D">
        <w:t>Should LNBA incorporate a counterf</w:t>
      </w:r>
      <w:r w:rsidR="00D55C8D">
        <w:t>actual “no programs” scenario?</w:t>
      </w:r>
    </w:p>
    <w:p w14:paraId="02375DD5" w14:textId="2416CA53" w:rsidR="00C85D61" w:rsidRPr="00D55C8D" w:rsidRDefault="00061E71">
      <w:pPr>
        <w:spacing w:after="0"/>
      </w:pPr>
      <w:r>
        <w:t>T</w:t>
      </w:r>
      <w:r w:rsidR="0079460F">
        <w:t xml:space="preserve">he focus of this proposal and the long term refinement should be on first question discussing multiple growth scenarios and what needs/investments are produced from the scenarios.  </w:t>
      </w:r>
      <w:r w:rsidR="0079460F">
        <w:t xml:space="preserve">The second question on the counterfactual DER scenario </w:t>
      </w:r>
      <w:r>
        <w:t>is specific to a use case discussed in the</w:t>
      </w:r>
      <w:r w:rsidR="00910C1D">
        <w:t xml:space="preserve"> </w:t>
      </w:r>
      <w:r w:rsidR="008B001F">
        <w:t>Track 1 Decision</w:t>
      </w:r>
      <w:r w:rsidR="00D55C8D">
        <w:t xml:space="preserve">, and is </w:t>
      </w:r>
      <w:r w:rsidR="00A57558">
        <w:t>n</w:t>
      </w:r>
      <w:r w:rsidR="00A57558" w:rsidRPr="00D55C8D">
        <w:t>ot</w:t>
      </w:r>
      <w:r w:rsidR="00E7500A" w:rsidRPr="00D55C8D">
        <w:t xml:space="preserve"> currently </w:t>
      </w:r>
      <w:r>
        <w:t>captured in</w:t>
      </w:r>
      <w:r w:rsidR="00910C1D">
        <w:t xml:space="preserve"> scope for</w:t>
      </w:r>
      <w:r>
        <w:t xml:space="preserve"> the</w:t>
      </w:r>
      <w:r w:rsidR="00910C1D">
        <w:t xml:space="preserve"> LNBA</w:t>
      </w:r>
      <w:r>
        <w:t xml:space="preserve"> long term refinements </w:t>
      </w:r>
      <w:r w:rsidR="00E7500A" w:rsidRPr="00D55C8D">
        <w:t>Working Group</w:t>
      </w:r>
      <w:r w:rsidR="0079460F">
        <w:t>.</w:t>
      </w:r>
    </w:p>
    <w:p w14:paraId="657FF1C6" w14:textId="77777777" w:rsidR="00D55C8D" w:rsidRDefault="00D55C8D" w:rsidP="00D55C8D">
      <w:pPr>
        <w:spacing w:after="0"/>
      </w:pPr>
    </w:p>
    <w:p w14:paraId="41652297" w14:textId="7974C5CA" w:rsidR="00D55C8D" w:rsidRDefault="00D55C8D" w:rsidP="00D55C8D">
      <w:pPr>
        <w:pStyle w:val="Heading2"/>
        <w:spacing w:before="0"/>
      </w:pPr>
      <w:r>
        <w:t>Background on Item 11</w:t>
      </w:r>
    </w:p>
    <w:p w14:paraId="35D4FBAC" w14:textId="6673A33D" w:rsidR="008B5776" w:rsidRDefault="00497FEC" w:rsidP="008B5776">
      <w:r>
        <w:t xml:space="preserve">For the IOUs Demo B, each IOU incorporated </w:t>
      </w:r>
      <w:r w:rsidR="00E009AC">
        <w:t xml:space="preserve">two </w:t>
      </w:r>
      <w:r>
        <w:t xml:space="preserve">distinct growth scenarios: a planning scenario </w:t>
      </w:r>
      <w:r w:rsidR="00A57558">
        <w:t>consistent</w:t>
      </w:r>
      <w:r>
        <w:t xml:space="preserve"> with the forecast used by IOUs for their </w:t>
      </w:r>
      <w:r w:rsidR="00A57558">
        <w:t>distribution</w:t>
      </w:r>
      <w:r>
        <w:t xml:space="preserve"> planning activities, and a very high scenario, representing the full implementation of a number of ambitious policy objectives, resulting in </w:t>
      </w:r>
      <w:r>
        <w:t>dramatic acceleration of growth for many DER types.)</w:t>
      </w:r>
      <w:r w:rsidR="008B5776">
        <w:t xml:space="preserve">  During the working group sessions, there was </w:t>
      </w:r>
      <w:r w:rsidR="00A57558">
        <w:t>discussion</w:t>
      </w:r>
      <w:r w:rsidR="008B5776">
        <w:t xml:space="preserve"> </w:t>
      </w:r>
      <w:r w:rsidR="00A57558">
        <w:t>concerning</w:t>
      </w:r>
      <w:r w:rsidR="008B5776">
        <w:t xml:space="preserve"> whether it makes sense to incorporate </w:t>
      </w:r>
      <w:r w:rsidR="00A57558">
        <w:t>multiple</w:t>
      </w:r>
      <w:r w:rsidR="008B5776">
        <w:t xml:space="preserve"> growth scenarios in the LNBA, or </w:t>
      </w:r>
      <w:r w:rsidR="00A57558">
        <w:t>whether</w:t>
      </w:r>
      <w:r w:rsidR="008B5776">
        <w:t xml:space="preserve"> it is more appropriate to use a single planning scenario.</w:t>
      </w:r>
    </w:p>
    <w:p w14:paraId="77C25B7B" w14:textId="46C7B3F9" w:rsidR="00C85D61" w:rsidRDefault="008B5776" w:rsidP="008B5776">
      <w:pPr>
        <w:rPr>
          <w:i/>
          <w:iCs/>
        </w:rPr>
      </w:pPr>
      <w:r>
        <w:t>The ACR included this topic as Item 11, and noted, “</w:t>
      </w:r>
      <w:r w:rsidR="00E7500A" w:rsidRPr="008B5776">
        <w:rPr>
          <w:i/>
          <w:iCs/>
        </w:rPr>
        <w:t>May entail substantive discussion, but likely will not entail incremental methodology development; requires coordination with DER growth scenarios under development in DRP Track 3 Sub-track 1.</w:t>
      </w:r>
    </w:p>
    <w:p w14:paraId="76504406" w14:textId="64348261" w:rsidR="008B5776" w:rsidRDefault="008B5776" w:rsidP="008B5776">
      <w:pPr>
        <w:rPr>
          <w:iCs/>
        </w:rPr>
      </w:pPr>
      <w:r>
        <w:rPr>
          <w:iCs/>
        </w:rPr>
        <w:t xml:space="preserve">The MTS scoping document summarized the topic as follows: </w:t>
      </w:r>
    </w:p>
    <w:p w14:paraId="2788705E" w14:textId="77777777" w:rsidR="00C85D61" w:rsidRPr="008B5776" w:rsidRDefault="00E7500A" w:rsidP="008B5776">
      <w:pPr>
        <w:numPr>
          <w:ilvl w:val="0"/>
          <w:numId w:val="8"/>
        </w:numPr>
      </w:pPr>
      <w:r w:rsidRPr="008B5776">
        <w:rPr>
          <w:i/>
          <w:iCs/>
        </w:rPr>
        <w:t xml:space="preserve">Methodological choices for the high growth scenario and lessons learned from Demo B should be shared with the Track 3, sub-track 1 of the DRP (load and DER forecasts) and vice versa. </w:t>
      </w:r>
    </w:p>
    <w:p w14:paraId="384BA130" w14:textId="77777777" w:rsidR="00C85D61" w:rsidRPr="008B5776" w:rsidRDefault="00E7500A" w:rsidP="008B5776">
      <w:pPr>
        <w:numPr>
          <w:ilvl w:val="0"/>
          <w:numId w:val="8"/>
        </w:numPr>
      </w:pPr>
      <w:r w:rsidRPr="008B5776">
        <w:rPr>
          <w:i/>
          <w:iCs/>
        </w:rPr>
        <w:t xml:space="preserve">With additional information and knowledge gained through the conclusion of Demo B and the DER Growth Scenarios Working Group, are there possible methodological changes or alternatives to using the very high DER growth scenario that are within scope of the LNBA WG? </w:t>
      </w:r>
    </w:p>
    <w:p w14:paraId="5BAF7915" w14:textId="1A7526D2" w:rsidR="00497FEC" w:rsidRPr="00497FEC" w:rsidRDefault="00E7500A" w:rsidP="008B001F">
      <w:pPr>
        <w:numPr>
          <w:ilvl w:val="0"/>
          <w:numId w:val="8"/>
        </w:numPr>
      </w:pPr>
      <w:r w:rsidRPr="008B5776">
        <w:rPr>
          <w:i/>
          <w:iCs/>
        </w:rPr>
        <w:t>What ongoing coordination needs to be developed between the LNBA WG and Track 1 Sub-track 1 of the DRP</w:t>
      </w:r>
      <w:r w:rsidRPr="008B5776">
        <w:t>?</w:t>
      </w:r>
    </w:p>
    <w:p w14:paraId="400DC907" w14:textId="77777777" w:rsidR="00062F4C" w:rsidRDefault="00062F4C" w:rsidP="00D55C8D">
      <w:pPr>
        <w:pStyle w:val="Heading1"/>
        <w:spacing w:before="0"/>
      </w:pPr>
      <w:r>
        <w:t>Discussion</w:t>
      </w:r>
    </w:p>
    <w:p w14:paraId="5B40272C" w14:textId="6657D4E5" w:rsidR="00CC5043" w:rsidRDefault="00A57558" w:rsidP="00CC5043">
      <w:pPr>
        <w:pStyle w:val="Heading2"/>
        <w:rPr>
          <w:rFonts w:eastAsiaTheme="minorHAnsi"/>
        </w:rPr>
      </w:pPr>
      <w:r w:rsidRPr="00A57558">
        <w:rPr>
          <w:rFonts w:eastAsiaTheme="minorHAnsi"/>
        </w:rPr>
        <w:t>LNBA must remain consistent with distribution planning process</w:t>
      </w:r>
      <w:r w:rsidR="00CC5043">
        <w:rPr>
          <w:rFonts w:eastAsiaTheme="minorHAnsi"/>
        </w:rPr>
        <w:t xml:space="preserve">.  </w:t>
      </w:r>
    </w:p>
    <w:p w14:paraId="7E3C11ED" w14:textId="51B56930" w:rsidR="00CC5043" w:rsidRPr="00CC5043" w:rsidRDefault="00CC5043" w:rsidP="00CC5043">
      <w:r>
        <w:t xml:space="preserve">LNBA is designed to estimate the value that that DER services may provide to the distribution grid.  Such services can only offer value if they are meeting defined system needs to avoid IOU costs by deferring IOU investments. </w:t>
      </w:r>
      <w:r w:rsidR="00061E71">
        <w:t xml:space="preserve"> The</w:t>
      </w:r>
      <w:r>
        <w:t xml:space="preserve"> </w:t>
      </w:r>
      <w:r w:rsidR="00A57558" w:rsidRPr="00A57558">
        <w:t>IOU planning process determines needs for investment (whether met via conventional or DER projects)</w:t>
      </w:r>
      <w:r>
        <w:t xml:space="preserve">.  Consequently, </w:t>
      </w:r>
      <w:r w:rsidR="00A57558" w:rsidRPr="00A57558">
        <w:t>LNBA results are meaningless if divorced from IOU distribution planning</w:t>
      </w:r>
      <w:r>
        <w:t>:  Any values that are not based on the distribution planning process cannot be said to estimate the avoided of meeting grid needs, because those values no longer bear any relationship to actual planned investments: they no longer have a connection to IOU avoided costs.</w:t>
      </w:r>
    </w:p>
    <w:p w14:paraId="348FAF2F" w14:textId="7A3FF8FA" w:rsidR="00062F4C" w:rsidRDefault="00A57558" w:rsidP="00CC5043">
      <w:pPr>
        <w:pStyle w:val="Heading2"/>
      </w:pPr>
      <w:r w:rsidRPr="00A57558">
        <w:t>Currently, IOU distribution investment plans uses a single forecast</w:t>
      </w:r>
    </w:p>
    <w:p w14:paraId="15D3D285" w14:textId="37106B00" w:rsidR="00CC5043" w:rsidRDefault="00CC5043" w:rsidP="00CC5043">
      <w:r>
        <w:t>IOU distribution planning uses a single forecast to identify grid needs and evaluation solutions to meet those needs.  This may change in the future (as discussed in the next section). However, currently, IOU tools and resources, as well as policy, supports only a single forecast.</w:t>
      </w:r>
      <w:r w:rsidR="00BF1D4A">
        <w:t xml:space="preserve"> </w:t>
      </w:r>
    </w:p>
    <w:p w14:paraId="7EC7D31E" w14:textId="53E5A0F0" w:rsidR="00BF54AC" w:rsidRPr="00CC5043" w:rsidRDefault="00BF54AC" w:rsidP="00BF54AC">
      <w:pPr>
        <w:pStyle w:val="Heading2"/>
      </w:pPr>
      <w:r>
        <w:t>Growth Scenarios should be resolved in Track 3 before implemented in LNBA</w:t>
      </w:r>
    </w:p>
    <w:p w14:paraId="4B20CB19" w14:textId="242B5F03" w:rsidR="00CC5043" w:rsidRPr="00CC5043" w:rsidRDefault="00CC5043" w:rsidP="00BF54AC">
      <w:r w:rsidRPr="00CC5043">
        <w:t>This is an important, complicated topic that should be discussed, but not in multiple venues simultaneously.</w:t>
      </w:r>
      <w:r w:rsidR="00BF54AC">
        <w:t xml:space="preserve"> </w:t>
      </w:r>
      <w:r w:rsidR="00BF54AC" w:rsidRPr="00BF54AC">
        <w:t>Track 3 ACR on Growth Scenarios explicitl</w:t>
      </w:r>
      <w:r w:rsidR="00BF54AC">
        <w:t>y includes multiple scenarios. (</w:t>
      </w:r>
      <w:r w:rsidR="00BF54AC" w:rsidRPr="00BF54AC">
        <w:t>See issue #8: “How the high and low DER growth scenarios may be used in the Grid Needs Assessment”</w:t>
      </w:r>
      <w:r w:rsidR="00BF54AC">
        <w:t>).  The</w:t>
      </w:r>
      <w:r w:rsidR="00BF54AC" w:rsidRPr="00BF54AC">
        <w:t xml:space="preserve"> consideration </w:t>
      </w:r>
      <w:r w:rsidR="00BF54AC">
        <w:t xml:space="preserve">of implementing growth scenarios into LNBA </w:t>
      </w:r>
      <w:r w:rsidR="00BF54AC" w:rsidRPr="00BF54AC">
        <w:t>should be discussed following Track 3 determination regarding if/how/when the planning process should incorporate multiple growth scenarios.</w:t>
      </w:r>
      <w:r w:rsidR="00BF1D4A">
        <w:t xml:space="preserve"> This discussion must consider the additional r</w:t>
      </w:r>
      <w:bookmarkStart w:id="0" w:name="_GoBack"/>
      <w:bookmarkEnd w:id="0"/>
      <w:r w:rsidR="00BF1D4A">
        <w:t xml:space="preserve">esources needed to evaluate multiple scenarios </w:t>
      </w:r>
      <w:r w:rsidR="00BF1D4A">
        <w:lastRenderedPageBreak/>
        <w:t xml:space="preserve">(e.g. enhancements to planning tools and substantial engineering effort) as well as questions of how to reconcile results under multiple scenarios in order to drive toward a single plan for implementation.  </w:t>
      </w:r>
    </w:p>
    <w:p w14:paraId="07407418" w14:textId="77777777" w:rsidR="00062F4C" w:rsidRDefault="00062F4C" w:rsidP="00D55C8D">
      <w:pPr>
        <w:pStyle w:val="Heading1"/>
        <w:spacing w:before="0"/>
      </w:pPr>
      <w:r>
        <w:t>Conclusion and Next Steps</w:t>
      </w:r>
    </w:p>
    <w:p w14:paraId="247AD92F" w14:textId="77777777" w:rsidR="00C85D61" w:rsidRPr="006260A7" w:rsidRDefault="00E7500A" w:rsidP="006260A7">
      <w:pPr>
        <w:pStyle w:val="ListParagraph"/>
        <w:numPr>
          <w:ilvl w:val="0"/>
          <w:numId w:val="3"/>
        </w:numPr>
      </w:pPr>
      <w:r w:rsidRPr="006260A7">
        <w:t>LNBA should remain consistent with distribution planning process</w:t>
      </w:r>
    </w:p>
    <w:p w14:paraId="17EAAFBA" w14:textId="77777777" w:rsidR="00C85D61" w:rsidRPr="006260A7" w:rsidRDefault="00E7500A" w:rsidP="006260A7">
      <w:pPr>
        <w:pStyle w:val="ListParagraph"/>
        <w:numPr>
          <w:ilvl w:val="0"/>
          <w:numId w:val="3"/>
        </w:numPr>
      </w:pPr>
      <w:r w:rsidRPr="006260A7">
        <w:t>When Track 3 has addressed the issue, consider appropriate refinements to LNBA</w:t>
      </w:r>
    </w:p>
    <w:p w14:paraId="4EB28446" w14:textId="744C0C25" w:rsidR="006B3453" w:rsidRPr="006B3453" w:rsidRDefault="006B3453" w:rsidP="006260A7">
      <w:pPr>
        <w:pStyle w:val="ListParagraph"/>
        <w:spacing w:after="0"/>
      </w:pPr>
    </w:p>
    <w:sectPr w:rsidR="006B3453" w:rsidRPr="006B34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435D1"/>
    <w:multiLevelType w:val="hybridMultilevel"/>
    <w:tmpl w:val="8C448F28"/>
    <w:lvl w:ilvl="0" w:tplc="54E8E36C">
      <w:start w:val="1"/>
      <w:numFmt w:val="bullet"/>
      <w:lvlText w:val="–"/>
      <w:lvlJc w:val="left"/>
      <w:pPr>
        <w:tabs>
          <w:tab w:val="num" w:pos="720"/>
        </w:tabs>
        <w:ind w:left="720" w:hanging="360"/>
      </w:pPr>
      <w:rPr>
        <w:rFonts w:ascii="Arial" w:hAnsi="Arial" w:hint="default"/>
      </w:rPr>
    </w:lvl>
    <w:lvl w:ilvl="1" w:tplc="382A1C76">
      <w:start w:val="1"/>
      <w:numFmt w:val="bullet"/>
      <w:lvlText w:val="–"/>
      <w:lvlJc w:val="left"/>
      <w:pPr>
        <w:tabs>
          <w:tab w:val="num" w:pos="1440"/>
        </w:tabs>
        <w:ind w:left="1440" w:hanging="360"/>
      </w:pPr>
      <w:rPr>
        <w:rFonts w:ascii="Arial" w:hAnsi="Arial" w:hint="default"/>
      </w:rPr>
    </w:lvl>
    <w:lvl w:ilvl="2" w:tplc="37B0B11C" w:tentative="1">
      <w:start w:val="1"/>
      <w:numFmt w:val="bullet"/>
      <w:lvlText w:val="–"/>
      <w:lvlJc w:val="left"/>
      <w:pPr>
        <w:tabs>
          <w:tab w:val="num" w:pos="2160"/>
        </w:tabs>
        <w:ind w:left="2160" w:hanging="360"/>
      </w:pPr>
      <w:rPr>
        <w:rFonts w:ascii="Arial" w:hAnsi="Arial" w:hint="default"/>
      </w:rPr>
    </w:lvl>
    <w:lvl w:ilvl="3" w:tplc="ED8CA11E" w:tentative="1">
      <w:start w:val="1"/>
      <w:numFmt w:val="bullet"/>
      <w:lvlText w:val="–"/>
      <w:lvlJc w:val="left"/>
      <w:pPr>
        <w:tabs>
          <w:tab w:val="num" w:pos="2880"/>
        </w:tabs>
        <w:ind w:left="2880" w:hanging="360"/>
      </w:pPr>
      <w:rPr>
        <w:rFonts w:ascii="Arial" w:hAnsi="Arial" w:hint="default"/>
      </w:rPr>
    </w:lvl>
    <w:lvl w:ilvl="4" w:tplc="79923648" w:tentative="1">
      <w:start w:val="1"/>
      <w:numFmt w:val="bullet"/>
      <w:lvlText w:val="–"/>
      <w:lvlJc w:val="left"/>
      <w:pPr>
        <w:tabs>
          <w:tab w:val="num" w:pos="3600"/>
        </w:tabs>
        <w:ind w:left="3600" w:hanging="360"/>
      </w:pPr>
      <w:rPr>
        <w:rFonts w:ascii="Arial" w:hAnsi="Arial" w:hint="default"/>
      </w:rPr>
    </w:lvl>
    <w:lvl w:ilvl="5" w:tplc="F078DDF2" w:tentative="1">
      <w:start w:val="1"/>
      <w:numFmt w:val="bullet"/>
      <w:lvlText w:val="–"/>
      <w:lvlJc w:val="left"/>
      <w:pPr>
        <w:tabs>
          <w:tab w:val="num" w:pos="4320"/>
        </w:tabs>
        <w:ind w:left="4320" w:hanging="360"/>
      </w:pPr>
      <w:rPr>
        <w:rFonts w:ascii="Arial" w:hAnsi="Arial" w:hint="default"/>
      </w:rPr>
    </w:lvl>
    <w:lvl w:ilvl="6" w:tplc="1CB25AD4" w:tentative="1">
      <w:start w:val="1"/>
      <w:numFmt w:val="bullet"/>
      <w:lvlText w:val="–"/>
      <w:lvlJc w:val="left"/>
      <w:pPr>
        <w:tabs>
          <w:tab w:val="num" w:pos="5040"/>
        </w:tabs>
        <w:ind w:left="5040" w:hanging="360"/>
      </w:pPr>
      <w:rPr>
        <w:rFonts w:ascii="Arial" w:hAnsi="Arial" w:hint="default"/>
      </w:rPr>
    </w:lvl>
    <w:lvl w:ilvl="7" w:tplc="E2F43600" w:tentative="1">
      <w:start w:val="1"/>
      <w:numFmt w:val="bullet"/>
      <w:lvlText w:val="–"/>
      <w:lvlJc w:val="left"/>
      <w:pPr>
        <w:tabs>
          <w:tab w:val="num" w:pos="5760"/>
        </w:tabs>
        <w:ind w:left="5760" w:hanging="360"/>
      </w:pPr>
      <w:rPr>
        <w:rFonts w:ascii="Arial" w:hAnsi="Arial" w:hint="default"/>
      </w:rPr>
    </w:lvl>
    <w:lvl w:ilvl="8" w:tplc="F9642CB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D7652C"/>
    <w:multiLevelType w:val="hybridMultilevel"/>
    <w:tmpl w:val="1F68366E"/>
    <w:lvl w:ilvl="0" w:tplc="A24472B2">
      <w:start w:val="1"/>
      <w:numFmt w:val="bullet"/>
      <w:lvlText w:val="–"/>
      <w:lvlJc w:val="left"/>
      <w:pPr>
        <w:tabs>
          <w:tab w:val="num" w:pos="720"/>
        </w:tabs>
        <w:ind w:left="720" w:hanging="360"/>
      </w:pPr>
      <w:rPr>
        <w:rFonts w:ascii="Arial" w:hAnsi="Arial" w:hint="default"/>
      </w:rPr>
    </w:lvl>
    <w:lvl w:ilvl="1" w:tplc="78526896">
      <w:start w:val="1"/>
      <w:numFmt w:val="bullet"/>
      <w:lvlText w:val="–"/>
      <w:lvlJc w:val="left"/>
      <w:pPr>
        <w:tabs>
          <w:tab w:val="num" w:pos="1440"/>
        </w:tabs>
        <w:ind w:left="1440" w:hanging="360"/>
      </w:pPr>
      <w:rPr>
        <w:rFonts w:ascii="Arial" w:hAnsi="Arial" w:hint="default"/>
      </w:rPr>
    </w:lvl>
    <w:lvl w:ilvl="2" w:tplc="CECAB0DA" w:tentative="1">
      <w:start w:val="1"/>
      <w:numFmt w:val="bullet"/>
      <w:lvlText w:val="–"/>
      <w:lvlJc w:val="left"/>
      <w:pPr>
        <w:tabs>
          <w:tab w:val="num" w:pos="2160"/>
        </w:tabs>
        <w:ind w:left="2160" w:hanging="360"/>
      </w:pPr>
      <w:rPr>
        <w:rFonts w:ascii="Arial" w:hAnsi="Arial" w:hint="default"/>
      </w:rPr>
    </w:lvl>
    <w:lvl w:ilvl="3" w:tplc="22B4BDCA" w:tentative="1">
      <w:start w:val="1"/>
      <w:numFmt w:val="bullet"/>
      <w:lvlText w:val="–"/>
      <w:lvlJc w:val="left"/>
      <w:pPr>
        <w:tabs>
          <w:tab w:val="num" w:pos="2880"/>
        </w:tabs>
        <w:ind w:left="2880" w:hanging="360"/>
      </w:pPr>
      <w:rPr>
        <w:rFonts w:ascii="Arial" w:hAnsi="Arial" w:hint="default"/>
      </w:rPr>
    </w:lvl>
    <w:lvl w:ilvl="4" w:tplc="630427DE" w:tentative="1">
      <w:start w:val="1"/>
      <w:numFmt w:val="bullet"/>
      <w:lvlText w:val="–"/>
      <w:lvlJc w:val="left"/>
      <w:pPr>
        <w:tabs>
          <w:tab w:val="num" w:pos="3600"/>
        </w:tabs>
        <w:ind w:left="3600" w:hanging="360"/>
      </w:pPr>
      <w:rPr>
        <w:rFonts w:ascii="Arial" w:hAnsi="Arial" w:hint="default"/>
      </w:rPr>
    </w:lvl>
    <w:lvl w:ilvl="5" w:tplc="D07E09F8" w:tentative="1">
      <w:start w:val="1"/>
      <w:numFmt w:val="bullet"/>
      <w:lvlText w:val="–"/>
      <w:lvlJc w:val="left"/>
      <w:pPr>
        <w:tabs>
          <w:tab w:val="num" w:pos="4320"/>
        </w:tabs>
        <w:ind w:left="4320" w:hanging="360"/>
      </w:pPr>
      <w:rPr>
        <w:rFonts w:ascii="Arial" w:hAnsi="Arial" w:hint="default"/>
      </w:rPr>
    </w:lvl>
    <w:lvl w:ilvl="6" w:tplc="B748C6B8" w:tentative="1">
      <w:start w:val="1"/>
      <w:numFmt w:val="bullet"/>
      <w:lvlText w:val="–"/>
      <w:lvlJc w:val="left"/>
      <w:pPr>
        <w:tabs>
          <w:tab w:val="num" w:pos="5040"/>
        </w:tabs>
        <w:ind w:left="5040" w:hanging="360"/>
      </w:pPr>
      <w:rPr>
        <w:rFonts w:ascii="Arial" w:hAnsi="Arial" w:hint="default"/>
      </w:rPr>
    </w:lvl>
    <w:lvl w:ilvl="7" w:tplc="3C223588" w:tentative="1">
      <w:start w:val="1"/>
      <w:numFmt w:val="bullet"/>
      <w:lvlText w:val="–"/>
      <w:lvlJc w:val="left"/>
      <w:pPr>
        <w:tabs>
          <w:tab w:val="num" w:pos="5760"/>
        </w:tabs>
        <w:ind w:left="5760" w:hanging="360"/>
      </w:pPr>
      <w:rPr>
        <w:rFonts w:ascii="Arial" w:hAnsi="Arial" w:hint="default"/>
      </w:rPr>
    </w:lvl>
    <w:lvl w:ilvl="8" w:tplc="FDC04C7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774F92"/>
    <w:multiLevelType w:val="hybridMultilevel"/>
    <w:tmpl w:val="AFC2546E"/>
    <w:lvl w:ilvl="0" w:tplc="86B2DDA8">
      <w:start w:val="1"/>
      <w:numFmt w:val="bullet"/>
      <w:lvlText w:val="•"/>
      <w:lvlJc w:val="left"/>
      <w:pPr>
        <w:tabs>
          <w:tab w:val="num" w:pos="720"/>
        </w:tabs>
        <w:ind w:left="720" w:hanging="360"/>
      </w:pPr>
      <w:rPr>
        <w:rFonts w:ascii="Arial" w:hAnsi="Arial" w:hint="default"/>
      </w:rPr>
    </w:lvl>
    <w:lvl w:ilvl="1" w:tplc="299828DE">
      <w:start w:val="56"/>
      <w:numFmt w:val="bullet"/>
      <w:lvlText w:val="–"/>
      <w:lvlJc w:val="left"/>
      <w:pPr>
        <w:tabs>
          <w:tab w:val="num" w:pos="1440"/>
        </w:tabs>
        <w:ind w:left="1440" w:hanging="360"/>
      </w:pPr>
      <w:rPr>
        <w:rFonts w:ascii="Arial" w:hAnsi="Arial" w:hint="default"/>
      </w:rPr>
    </w:lvl>
    <w:lvl w:ilvl="2" w:tplc="3D9E36C2">
      <w:start w:val="56"/>
      <w:numFmt w:val="bullet"/>
      <w:lvlText w:val="•"/>
      <w:lvlJc w:val="left"/>
      <w:pPr>
        <w:tabs>
          <w:tab w:val="num" w:pos="2160"/>
        </w:tabs>
        <w:ind w:left="2160" w:hanging="360"/>
      </w:pPr>
      <w:rPr>
        <w:rFonts w:ascii="Arial" w:hAnsi="Arial" w:hint="default"/>
      </w:rPr>
    </w:lvl>
    <w:lvl w:ilvl="3" w:tplc="2C94A354" w:tentative="1">
      <w:start w:val="1"/>
      <w:numFmt w:val="bullet"/>
      <w:lvlText w:val="•"/>
      <w:lvlJc w:val="left"/>
      <w:pPr>
        <w:tabs>
          <w:tab w:val="num" w:pos="2880"/>
        </w:tabs>
        <w:ind w:left="2880" w:hanging="360"/>
      </w:pPr>
      <w:rPr>
        <w:rFonts w:ascii="Arial" w:hAnsi="Arial" w:hint="default"/>
      </w:rPr>
    </w:lvl>
    <w:lvl w:ilvl="4" w:tplc="7AB05866" w:tentative="1">
      <w:start w:val="1"/>
      <w:numFmt w:val="bullet"/>
      <w:lvlText w:val="•"/>
      <w:lvlJc w:val="left"/>
      <w:pPr>
        <w:tabs>
          <w:tab w:val="num" w:pos="3600"/>
        </w:tabs>
        <w:ind w:left="3600" w:hanging="360"/>
      </w:pPr>
      <w:rPr>
        <w:rFonts w:ascii="Arial" w:hAnsi="Arial" w:hint="default"/>
      </w:rPr>
    </w:lvl>
    <w:lvl w:ilvl="5" w:tplc="DC14873C" w:tentative="1">
      <w:start w:val="1"/>
      <w:numFmt w:val="bullet"/>
      <w:lvlText w:val="•"/>
      <w:lvlJc w:val="left"/>
      <w:pPr>
        <w:tabs>
          <w:tab w:val="num" w:pos="4320"/>
        </w:tabs>
        <w:ind w:left="4320" w:hanging="360"/>
      </w:pPr>
      <w:rPr>
        <w:rFonts w:ascii="Arial" w:hAnsi="Arial" w:hint="default"/>
      </w:rPr>
    </w:lvl>
    <w:lvl w:ilvl="6" w:tplc="7B68C784" w:tentative="1">
      <w:start w:val="1"/>
      <w:numFmt w:val="bullet"/>
      <w:lvlText w:val="•"/>
      <w:lvlJc w:val="left"/>
      <w:pPr>
        <w:tabs>
          <w:tab w:val="num" w:pos="5040"/>
        </w:tabs>
        <w:ind w:left="5040" w:hanging="360"/>
      </w:pPr>
      <w:rPr>
        <w:rFonts w:ascii="Arial" w:hAnsi="Arial" w:hint="default"/>
      </w:rPr>
    </w:lvl>
    <w:lvl w:ilvl="7" w:tplc="C05CFA46" w:tentative="1">
      <w:start w:val="1"/>
      <w:numFmt w:val="bullet"/>
      <w:lvlText w:val="•"/>
      <w:lvlJc w:val="left"/>
      <w:pPr>
        <w:tabs>
          <w:tab w:val="num" w:pos="5760"/>
        </w:tabs>
        <w:ind w:left="5760" w:hanging="360"/>
      </w:pPr>
      <w:rPr>
        <w:rFonts w:ascii="Arial" w:hAnsi="Arial" w:hint="default"/>
      </w:rPr>
    </w:lvl>
    <w:lvl w:ilvl="8" w:tplc="14BCE2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1725266"/>
    <w:multiLevelType w:val="hybridMultilevel"/>
    <w:tmpl w:val="C1F0B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575D82"/>
    <w:multiLevelType w:val="hybridMultilevel"/>
    <w:tmpl w:val="29BC65BE"/>
    <w:lvl w:ilvl="0" w:tplc="A3489DC4">
      <w:start w:val="1"/>
      <w:numFmt w:val="bullet"/>
      <w:lvlText w:val="–"/>
      <w:lvlJc w:val="left"/>
      <w:pPr>
        <w:tabs>
          <w:tab w:val="num" w:pos="720"/>
        </w:tabs>
        <w:ind w:left="720" w:hanging="360"/>
      </w:pPr>
      <w:rPr>
        <w:rFonts w:ascii="Arial" w:hAnsi="Arial" w:hint="default"/>
      </w:rPr>
    </w:lvl>
    <w:lvl w:ilvl="1" w:tplc="00341DD6">
      <w:start w:val="1"/>
      <w:numFmt w:val="bullet"/>
      <w:lvlText w:val="–"/>
      <w:lvlJc w:val="left"/>
      <w:pPr>
        <w:tabs>
          <w:tab w:val="num" w:pos="1440"/>
        </w:tabs>
        <w:ind w:left="1440" w:hanging="360"/>
      </w:pPr>
      <w:rPr>
        <w:rFonts w:ascii="Arial" w:hAnsi="Arial" w:hint="default"/>
      </w:rPr>
    </w:lvl>
    <w:lvl w:ilvl="2" w:tplc="15407DA4" w:tentative="1">
      <w:start w:val="1"/>
      <w:numFmt w:val="bullet"/>
      <w:lvlText w:val="–"/>
      <w:lvlJc w:val="left"/>
      <w:pPr>
        <w:tabs>
          <w:tab w:val="num" w:pos="2160"/>
        </w:tabs>
        <w:ind w:left="2160" w:hanging="360"/>
      </w:pPr>
      <w:rPr>
        <w:rFonts w:ascii="Arial" w:hAnsi="Arial" w:hint="default"/>
      </w:rPr>
    </w:lvl>
    <w:lvl w:ilvl="3" w:tplc="63648B46" w:tentative="1">
      <w:start w:val="1"/>
      <w:numFmt w:val="bullet"/>
      <w:lvlText w:val="–"/>
      <w:lvlJc w:val="left"/>
      <w:pPr>
        <w:tabs>
          <w:tab w:val="num" w:pos="2880"/>
        </w:tabs>
        <w:ind w:left="2880" w:hanging="360"/>
      </w:pPr>
      <w:rPr>
        <w:rFonts w:ascii="Arial" w:hAnsi="Arial" w:hint="default"/>
      </w:rPr>
    </w:lvl>
    <w:lvl w:ilvl="4" w:tplc="74AEBAC0" w:tentative="1">
      <w:start w:val="1"/>
      <w:numFmt w:val="bullet"/>
      <w:lvlText w:val="–"/>
      <w:lvlJc w:val="left"/>
      <w:pPr>
        <w:tabs>
          <w:tab w:val="num" w:pos="3600"/>
        </w:tabs>
        <w:ind w:left="3600" w:hanging="360"/>
      </w:pPr>
      <w:rPr>
        <w:rFonts w:ascii="Arial" w:hAnsi="Arial" w:hint="default"/>
      </w:rPr>
    </w:lvl>
    <w:lvl w:ilvl="5" w:tplc="C6E26330" w:tentative="1">
      <w:start w:val="1"/>
      <w:numFmt w:val="bullet"/>
      <w:lvlText w:val="–"/>
      <w:lvlJc w:val="left"/>
      <w:pPr>
        <w:tabs>
          <w:tab w:val="num" w:pos="4320"/>
        </w:tabs>
        <w:ind w:left="4320" w:hanging="360"/>
      </w:pPr>
      <w:rPr>
        <w:rFonts w:ascii="Arial" w:hAnsi="Arial" w:hint="default"/>
      </w:rPr>
    </w:lvl>
    <w:lvl w:ilvl="6" w:tplc="C1849820" w:tentative="1">
      <w:start w:val="1"/>
      <w:numFmt w:val="bullet"/>
      <w:lvlText w:val="–"/>
      <w:lvlJc w:val="left"/>
      <w:pPr>
        <w:tabs>
          <w:tab w:val="num" w:pos="5040"/>
        </w:tabs>
        <w:ind w:left="5040" w:hanging="360"/>
      </w:pPr>
      <w:rPr>
        <w:rFonts w:ascii="Arial" w:hAnsi="Arial" w:hint="default"/>
      </w:rPr>
    </w:lvl>
    <w:lvl w:ilvl="7" w:tplc="AFD62752" w:tentative="1">
      <w:start w:val="1"/>
      <w:numFmt w:val="bullet"/>
      <w:lvlText w:val="–"/>
      <w:lvlJc w:val="left"/>
      <w:pPr>
        <w:tabs>
          <w:tab w:val="num" w:pos="5760"/>
        </w:tabs>
        <w:ind w:left="5760" w:hanging="360"/>
      </w:pPr>
      <w:rPr>
        <w:rFonts w:ascii="Arial" w:hAnsi="Arial" w:hint="default"/>
      </w:rPr>
    </w:lvl>
    <w:lvl w:ilvl="8" w:tplc="CB2029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8423084"/>
    <w:multiLevelType w:val="hybridMultilevel"/>
    <w:tmpl w:val="02CEEFB6"/>
    <w:lvl w:ilvl="0" w:tplc="9C2CE9CE">
      <w:start w:val="1"/>
      <w:numFmt w:val="bullet"/>
      <w:lvlText w:val="–"/>
      <w:lvlJc w:val="left"/>
      <w:pPr>
        <w:tabs>
          <w:tab w:val="num" w:pos="720"/>
        </w:tabs>
        <w:ind w:left="720" w:hanging="360"/>
      </w:pPr>
      <w:rPr>
        <w:rFonts w:ascii="Arial" w:hAnsi="Arial" w:hint="default"/>
      </w:rPr>
    </w:lvl>
    <w:lvl w:ilvl="1" w:tplc="20D2A01E">
      <w:start w:val="1"/>
      <w:numFmt w:val="bullet"/>
      <w:lvlText w:val="–"/>
      <w:lvlJc w:val="left"/>
      <w:pPr>
        <w:tabs>
          <w:tab w:val="num" w:pos="1440"/>
        </w:tabs>
        <w:ind w:left="1440" w:hanging="360"/>
      </w:pPr>
      <w:rPr>
        <w:rFonts w:ascii="Arial" w:hAnsi="Arial" w:hint="default"/>
      </w:rPr>
    </w:lvl>
    <w:lvl w:ilvl="2" w:tplc="363E5B1A" w:tentative="1">
      <w:start w:val="1"/>
      <w:numFmt w:val="bullet"/>
      <w:lvlText w:val="–"/>
      <w:lvlJc w:val="left"/>
      <w:pPr>
        <w:tabs>
          <w:tab w:val="num" w:pos="2160"/>
        </w:tabs>
        <w:ind w:left="2160" w:hanging="360"/>
      </w:pPr>
      <w:rPr>
        <w:rFonts w:ascii="Arial" w:hAnsi="Arial" w:hint="default"/>
      </w:rPr>
    </w:lvl>
    <w:lvl w:ilvl="3" w:tplc="4A48196E" w:tentative="1">
      <w:start w:val="1"/>
      <w:numFmt w:val="bullet"/>
      <w:lvlText w:val="–"/>
      <w:lvlJc w:val="left"/>
      <w:pPr>
        <w:tabs>
          <w:tab w:val="num" w:pos="2880"/>
        </w:tabs>
        <w:ind w:left="2880" w:hanging="360"/>
      </w:pPr>
      <w:rPr>
        <w:rFonts w:ascii="Arial" w:hAnsi="Arial" w:hint="default"/>
      </w:rPr>
    </w:lvl>
    <w:lvl w:ilvl="4" w:tplc="00E2541E" w:tentative="1">
      <w:start w:val="1"/>
      <w:numFmt w:val="bullet"/>
      <w:lvlText w:val="–"/>
      <w:lvlJc w:val="left"/>
      <w:pPr>
        <w:tabs>
          <w:tab w:val="num" w:pos="3600"/>
        </w:tabs>
        <w:ind w:left="3600" w:hanging="360"/>
      </w:pPr>
      <w:rPr>
        <w:rFonts w:ascii="Arial" w:hAnsi="Arial" w:hint="default"/>
      </w:rPr>
    </w:lvl>
    <w:lvl w:ilvl="5" w:tplc="95B85610" w:tentative="1">
      <w:start w:val="1"/>
      <w:numFmt w:val="bullet"/>
      <w:lvlText w:val="–"/>
      <w:lvlJc w:val="left"/>
      <w:pPr>
        <w:tabs>
          <w:tab w:val="num" w:pos="4320"/>
        </w:tabs>
        <w:ind w:left="4320" w:hanging="360"/>
      </w:pPr>
      <w:rPr>
        <w:rFonts w:ascii="Arial" w:hAnsi="Arial" w:hint="default"/>
      </w:rPr>
    </w:lvl>
    <w:lvl w:ilvl="6" w:tplc="25BA93C6" w:tentative="1">
      <w:start w:val="1"/>
      <w:numFmt w:val="bullet"/>
      <w:lvlText w:val="–"/>
      <w:lvlJc w:val="left"/>
      <w:pPr>
        <w:tabs>
          <w:tab w:val="num" w:pos="5040"/>
        </w:tabs>
        <w:ind w:left="5040" w:hanging="360"/>
      </w:pPr>
      <w:rPr>
        <w:rFonts w:ascii="Arial" w:hAnsi="Arial" w:hint="default"/>
      </w:rPr>
    </w:lvl>
    <w:lvl w:ilvl="7" w:tplc="B33ED2C2" w:tentative="1">
      <w:start w:val="1"/>
      <w:numFmt w:val="bullet"/>
      <w:lvlText w:val="–"/>
      <w:lvlJc w:val="left"/>
      <w:pPr>
        <w:tabs>
          <w:tab w:val="num" w:pos="5760"/>
        </w:tabs>
        <w:ind w:left="5760" w:hanging="360"/>
      </w:pPr>
      <w:rPr>
        <w:rFonts w:ascii="Arial" w:hAnsi="Arial" w:hint="default"/>
      </w:rPr>
    </w:lvl>
    <w:lvl w:ilvl="8" w:tplc="D6F4DF1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8CD2F64"/>
    <w:multiLevelType w:val="hybridMultilevel"/>
    <w:tmpl w:val="6D34F144"/>
    <w:lvl w:ilvl="0" w:tplc="FCC845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6"/>
  </w:num>
  <w:num w:numId="5">
    <w:abstractNumId w:val="1"/>
  </w:num>
  <w:num w:numId="6">
    <w:abstractNumId w:val="5"/>
  </w:num>
  <w:num w:numId="7">
    <w:abstractNumId w:val="7"/>
  </w:num>
  <w:num w:numId="8">
    <w:abstractNumId w:val="2"/>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61E71"/>
    <w:rsid w:val="00062F4C"/>
    <w:rsid w:val="00065158"/>
    <w:rsid w:val="00086022"/>
    <w:rsid w:val="000A1E90"/>
    <w:rsid w:val="00143E22"/>
    <w:rsid w:val="00165AD7"/>
    <w:rsid w:val="0018026E"/>
    <w:rsid w:val="001B6998"/>
    <w:rsid w:val="002A4CBA"/>
    <w:rsid w:val="0031068E"/>
    <w:rsid w:val="0037263B"/>
    <w:rsid w:val="003A2AFB"/>
    <w:rsid w:val="0046692D"/>
    <w:rsid w:val="00497FEC"/>
    <w:rsid w:val="004D00ED"/>
    <w:rsid w:val="00524E84"/>
    <w:rsid w:val="00544CA4"/>
    <w:rsid w:val="00563730"/>
    <w:rsid w:val="005642BE"/>
    <w:rsid w:val="0057298B"/>
    <w:rsid w:val="005803BF"/>
    <w:rsid w:val="005909F1"/>
    <w:rsid w:val="005E7DD7"/>
    <w:rsid w:val="006260A7"/>
    <w:rsid w:val="006B3453"/>
    <w:rsid w:val="00720061"/>
    <w:rsid w:val="0079460F"/>
    <w:rsid w:val="007C7001"/>
    <w:rsid w:val="00805258"/>
    <w:rsid w:val="00883604"/>
    <w:rsid w:val="008B001F"/>
    <w:rsid w:val="008B5776"/>
    <w:rsid w:val="00910C1D"/>
    <w:rsid w:val="00A447F0"/>
    <w:rsid w:val="00A57558"/>
    <w:rsid w:val="00AD470F"/>
    <w:rsid w:val="00B3246C"/>
    <w:rsid w:val="00BF1D4A"/>
    <w:rsid w:val="00BF54AC"/>
    <w:rsid w:val="00C12A1C"/>
    <w:rsid w:val="00C14652"/>
    <w:rsid w:val="00C85D61"/>
    <w:rsid w:val="00CC5043"/>
    <w:rsid w:val="00D04B9A"/>
    <w:rsid w:val="00D46D88"/>
    <w:rsid w:val="00D55C8D"/>
    <w:rsid w:val="00DA043F"/>
    <w:rsid w:val="00E009AC"/>
    <w:rsid w:val="00E43FAF"/>
    <w:rsid w:val="00E66387"/>
    <w:rsid w:val="00E7500A"/>
    <w:rsid w:val="00EB512F"/>
    <w:rsid w:val="00F01ECF"/>
    <w:rsid w:val="00F907BB"/>
    <w:rsid w:val="00F94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608F584F-209B-41D9-AEB5-999A2B9CD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55C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D55C8D"/>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B3246C"/>
    <w:rPr>
      <w:sz w:val="16"/>
      <w:szCs w:val="16"/>
    </w:rPr>
  </w:style>
  <w:style w:type="paragraph" w:styleId="CommentText">
    <w:name w:val="annotation text"/>
    <w:basedOn w:val="Normal"/>
    <w:link w:val="CommentTextChar"/>
    <w:uiPriority w:val="99"/>
    <w:semiHidden/>
    <w:unhideWhenUsed/>
    <w:rsid w:val="00B3246C"/>
    <w:pPr>
      <w:spacing w:line="240" w:lineRule="auto"/>
    </w:pPr>
    <w:rPr>
      <w:sz w:val="20"/>
      <w:szCs w:val="20"/>
    </w:rPr>
  </w:style>
  <w:style w:type="character" w:customStyle="1" w:styleId="CommentTextChar">
    <w:name w:val="Comment Text Char"/>
    <w:basedOn w:val="DefaultParagraphFont"/>
    <w:link w:val="CommentText"/>
    <w:uiPriority w:val="99"/>
    <w:semiHidden/>
    <w:rsid w:val="00B3246C"/>
    <w:rPr>
      <w:sz w:val="20"/>
      <w:szCs w:val="20"/>
    </w:rPr>
  </w:style>
  <w:style w:type="paragraph" w:styleId="CommentSubject">
    <w:name w:val="annotation subject"/>
    <w:basedOn w:val="CommentText"/>
    <w:next w:val="CommentText"/>
    <w:link w:val="CommentSubjectChar"/>
    <w:uiPriority w:val="99"/>
    <w:semiHidden/>
    <w:unhideWhenUsed/>
    <w:rsid w:val="00B3246C"/>
    <w:rPr>
      <w:b/>
      <w:bCs/>
    </w:rPr>
  </w:style>
  <w:style w:type="character" w:customStyle="1" w:styleId="CommentSubjectChar">
    <w:name w:val="Comment Subject Char"/>
    <w:basedOn w:val="CommentTextChar"/>
    <w:link w:val="CommentSubject"/>
    <w:uiPriority w:val="99"/>
    <w:semiHidden/>
    <w:rsid w:val="00B3246C"/>
    <w:rPr>
      <w:b/>
      <w:bCs/>
      <w:sz w:val="20"/>
      <w:szCs w:val="20"/>
    </w:rPr>
  </w:style>
  <w:style w:type="paragraph" w:styleId="BalloonText">
    <w:name w:val="Balloon Text"/>
    <w:basedOn w:val="Normal"/>
    <w:link w:val="BalloonTextChar"/>
    <w:uiPriority w:val="99"/>
    <w:semiHidden/>
    <w:unhideWhenUsed/>
    <w:rsid w:val="00B324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46C"/>
    <w:rPr>
      <w:rFonts w:ascii="Segoe UI" w:hAnsi="Segoe UI" w:cs="Segoe UI"/>
      <w:sz w:val="18"/>
      <w:szCs w:val="18"/>
    </w:rPr>
  </w:style>
  <w:style w:type="paragraph" w:styleId="Revision">
    <w:name w:val="Revision"/>
    <w:hidden/>
    <w:uiPriority w:val="99"/>
    <w:semiHidden/>
    <w:rsid w:val="00143E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01761">
      <w:bodyDiv w:val="1"/>
      <w:marLeft w:val="0"/>
      <w:marRight w:val="0"/>
      <w:marTop w:val="0"/>
      <w:marBottom w:val="0"/>
      <w:divBdr>
        <w:top w:val="none" w:sz="0" w:space="0" w:color="auto"/>
        <w:left w:val="none" w:sz="0" w:space="0" w:color="auto"/>
        <w:bottom w:val="none" w:sz="0" w:space="0" w:color="auto"/>
        <w:right w:val="none" w:sz="0" w:space="0" w:color="auto"/>
      </w:divBdr>
      <w:divsChild>
        <w:div w:id="1978561813">
          <w:marLeft w:val="1166"/>
          <w:marRight w:val="0"/>
          <w:marTop w:val="86"/>
          <w:marBottom w:val="0"/>
          <w:divBdr>
            <w:top w:val="none" w:sz="0" w:space="0" w:color="auto"/>
            <w:left w:val="none" w:sz="0" w:space="0" w:color="auto"/>
            <w:bottom w:val="none" w:sz="0" w:space="0" w:color="auto"/>
            <w:right w:val="none" w:sz="0" w:space="0" w:color="auto"/>
          </w:divBdr>
        </w:div>
        <w:div w:id="281033011">
          <w:marLeft w:val="1166"/>
          <w:marRight w:val="0"/>
          <w:marTop w:val="86"/>
          <w:marBottom w:val="0"/>
          <w:divBdr>
            <w:top w:val="none" w:sz="0" w:space="0" w:color="auto"/>
            <w:left w:val="none" w:sz="0" w:space="0" w:color="auto"/>
            <w:bottom w:val="none" w:sz="0" w:space="0" w:color="auto"/>
            <w:right w:val="none" w:sz="0" w:space="0" w:color="auto"/>
          </w:divBdr>
        </w:div>
      </w:divsChild>
    </w:div>
    <w:div w:id="228616180">
      <w:bodyDiv w:val="1"/>
      <w:marLeft w:val="0"/>
      <w:marRight w:val="0"/>
      <w:marTop w:val="0"/>
      <w:marBottom w:val="0"/>
      <w:divBdr>
        <w:top w:val="none" w:sz="0" w:space="0" w:color="auto"/>
        <w:left w:val="none" w:sz="0" w:space="0" w:color="auto"/>
        <w:bottom w:val="none" w:sz="0" w:space="0" w:color="auto"/>
        <w:right w:val="none" w:sz="0" w:space="0" w:color="auto"/>
      </w:divBdr>
      <w:divsChild>
        <w:div w:id="1042709889">
          <w:marLeft w:val="1166"/>
          <w:marRight w:val="0"/>
          <w:marTop w:val="86"/>
          <w:marBottom w:val="0"/>
          <w:divBdr>
            <w:top w:val="none" w:sz="0" w:space="0" w:color="auto"/>
            <w:left w:val="none" w:sz="0" w:space="0" w:color="auto"/>
            <w:bottom w:val="none" w:sz="0" w:space="0" w:color="auto"/>
            <w:right w:val="none" w:sz="0" w:space="0" w:color="auto"/>
          </w:divBdr>
        </w:div>
        <w:div w:id="1094130630">
          <w:marLeft w:val="1166"/>
          <w:marRight w:val="0"/>
          <w:marTop w:val="86"/>
          <w:marBottom w:val="0"/>
          <w:divBdr>
            <w:top w:val="none" w:sz="0" w:space="0" w:color="auto"/>
            <w:left w:val="none" w:sz="0" w:space="0" w:color="auto"/>
            <w:bottom w:val="none" w:sz="0" w:space="0" w:color="auto"/>
            <w:right w:val="none" w:sz="0" w:space="0" w:color="auto"/>
          </w:divBdr>
        </w:div>
      </w:divsChild>
    </w:div>
    <w:div w:id="448625887">
      <w:bodyDiv w:val="1"/>
      <w:marLeft w:val="0"/>
      <w:marRight w:val="0"/>
      <w:marTop w:val="0"/>
      <w:marBottom w:val="0"/>
      <w:divBdr>
        <w:top w:val="none" w:sz="0" w:space="0" w:color="auto"/>
        <w:left w:val="none" w:sz="0" w:space="0" w:color="auto"/>
        <w:bottom w:val="none" w:sz="0" w:space="0" w:color="auto"/>
        <w:right w:val="none" w:sz="0" w:space="0" w:color="auto"/>
      </w:divBdr>
      <w:divsChild>
        <w:div w:id="1428502753">
          <w:marLeft w:val="547"/>
          <w:marRight w:val="0"/>
          <w:marTop w:val="77"/>
          <w:marBottom w:val="0"/>
          <w:divBdr>
            <w:top w:val="none" w:sz="0" w:space="0" w:color="auto"/>
            <w:left w:val="none" w:sz="0" w:space="0" w:color="auto"/>
            <w:bottom w:val="none" w:sz="0" w:space="0" w:color="auto"/>
            <w:right w:val="none" w:sz="0" w:space="0" w:color="auto"/>
          </w:divBdr>
        </w:div>
        <w:div w:id="932977957">
          <w:marLeft w:val="1166"/>
          <w:marRight w:val="0"/>
          <w:marTop w:val="77"/>
          <w:marBottom w:val="0"/>
          <w:divBdr>
            <w:top w:val="none" w:sz="0" w:space="0" w:color="auto"/>
            <w:left w:val="none" w:sz="0" w:space="0" w:color="auto"/>
            <w:bottom w:val="none" w:sz="0" w:space="0" w:color="auto"/>
            <w:right w:val="none" w:sz="0" w:space="0" w:color="auto"/>
          </w:divBdr>
        </w:div>
        <w:div w:id="1226988657">
          <w:marLeft w:val="1166"/>
          <w:marRight w:val="0"/>
          <w:marTop w:val="77"/>
          <w:marBottom w:val="0"/>
          <w:divBdr>
            <w:top w:val="none" w:sz="0" w:space="0" w:color="auto"/>
            <w:left w:val="none" w:sz="0" w:space="0" w:color="auto"/>
            <w:bottom w:val="none" w:sz="0" w:space="0" w:color="auto"/>
            <w:right w:val="none" w:sz="0" w:space="0" w:color="auto"/>
          </w:divBdr>
        </w:div>
        <w:div w:id="1407335024">
          <w:marLeft w:val="1166"/>
          <w:marRight w:val="0"/>
          <w:marTop w:val="77"/>
          <w:marBottom w:val="0"/>
          <w:divBdr>
            <w:top w:val="none" w:sz="0" w:space="0" w:color="auto"/>
            <w:left w:val="none" w:sz="0" w:space="0" w:color="auto"/>
            <w:bottom w:val="none" w:sz="0" w:space="0" w:color="auto"/>
            <w:right w:val="none" w:sz="0" w:space="0" w:color="auto"/>
          </w:divBdr>
        </w:div>
        <w:div w:id="1584879759">
          <w:marLeft w:val="547"/>
          <w:marRight w:val="0"/>
          <w:marTop w:val="77"/>
          <w:marBottom w:val="0"/>
          <w:divBdr>
            <w:top w:val="none" w:sz="0" w:space="0" w:color="auto"/>
            <w:left w:val="none" w:sz="0" w:space="0" w:color="auto"/>
            <w:bottom w:val="none" w:sz="0" w:space="0" w:color="auto"/>
            <w:right w:val="none" w:sz="0" w:space="0" w:color="auto"/>
          </w:divBdr>
        </w:div>
        <w:div w:id="188876010">
          <w:marLeft w:val="1166"/>
          <w:marRight w:val="0"/>
          <w:marTop w:val="77"/>
          <w:marBottom w:val="0"/>
          <w:divBdr>
            <w:top w:val="none" w:sz="0" w:space="0" w:color="auto"/>
            <w:left w:val="none" w:sz="0" w:space="0" w:color="auto"/>
            <w:bottom w:val="none" w:sz="0" w:space="0" w:color="auto"/>
            <w:right w:val="none" w:sz="0" w:space="0" w:color="auto"/>
          </w:divBdr>
        </w:div>
        <w:div w:id="382143867">
          <w:marLeft w:val="1166"/>
          <w:marRight w:val="0"/>
          <w:marTop w:val="77"/>
          <w:marBottom w:val="0"/>
          <w:divBdr>
            <w:top w:val="none" w:sz="0" w:space="0" w:color="auto"/>
            <w:left w:val="none" w:sz="0" w:space="0" w:color="auto"/>
            <w:bottom w:val="none" w:sz="0" w:space="0" w:color="auto"/>
            <w:right w:val="none" w:sz="0" w:space="0" w:color="auto"/>
          </w:divBdr>
        </w:div>
        <w:div w:id="225410228">
          <w:marLeft w:val="547"/>
          <w:marRight w:val="0"/>
          <w:marTop w:val="77"/>
          <w:marBottom w:val="0"/>
          <w:divBdr>
            <w:top w:val="none" w:sz="0" w:space="0" w:color="auto"/>
            <w:left w:val="none" w:sz="0" w:space="0" w:color="auto"/>
            <w:bottom w:val="none" w:sz="0" w:space="0" w:color="auto"/>
            <w:right w:val="none" w:sz="0" w:space="0" w:color="auto"/>
          </w:divBdr>
        </w:div>
        <w:div w:id="96799330">
          <w:marLeft w:val="1166"/>
          <w:marRight w:val="0"/>
          <w:marTop w:val="77"/>
          <w:marBottom w:val="0"/>
          <w:divBdr>
            <w:top w:val="none" w:sz="0" w:space="0" w:color="auto"/>
            <w:left w:val="none" w:sz="0" w:space="0" w:color="auto"/>
            <w:bottom w:val="none" w:sz="0" w:space="0" w:color="auto"/>
            <w:right w:val="none" w:sz="0" w:space="0" w:color="auto"/>
          </w:divBdr>
        </w:div>
        <w:div w:id="1046175553">
          <w:marLeft w:val="1800"/>
          <w:marRight w:val="0"/>
          <w:marTop w:val="77"/>
          <w:marBottom w:val="0"/>
          <w:divBdr>
            <w:top w:val="none" w:sz="0" w:space="0" w:color="auto"/>
            <w:left w:val="none" w:sz="0" w:space="0" w:color="auto"/>
            <w:bottom w:val="none" w:sz="0" w:space="0" w:color="auto"/>
            <w:right w:val="none" w:sz="0" w:space="0" w:color="auto"/>
          </w:divBdr>
        </w:div>
        <w:div w:id="168453482">
          <w:marLeft w:val="1166"/>
          <w:marRight w:val="0"/>
          <w:marTop w:val="77"/>
          <w:marBottom w:val="0"/>
          <w:divBdr>
            <w:top w:val="none" w:sz="0" w:space="0" w:color="auto"/>
            <w:left w:val="none" w:sz="0" w:space="0" w:color="auto"/>
            <w:bottom w:val="none" w:sz="0" w:space="0" w:color="auto"/>
            <w:right w:val="none" w:sz="0" w:space="0" w:color="auto"/>
          </w:divBdr>
        </w:div>
        <w:div w:id="438649031">
          <w:marLeft w:val="1800"/>
          <w:marRight w:val="0"/>
          <w:marTop w:val="77"/>
          <w:marBottom w:val="0"/>
          <w:divBdr>
            <w:top w:val="none" w:sz="0" w:space="0" w:color="auto"/>
            <w:left w:val="none" w:sz="0" w:space="0" w:color="auto"/>
            <w:bottom w:val="none" w:sz="0" w:space="0" w:color="auto"/>
            <w:right w:val="none" w:sz="0" w:space="0" w:color="auto"/>
          </w:divBdr>
        </w:div>
      </w:divsChild>
    </w:div>
    <w:div w:id="1938246881">
      <w:bodyDiv w:val="1"/>
      <w:marLeft w:val="0"/>
      <w:marRight w:val="0"/>
      <w:marTop w:val="0"/>
      <w:marBottom w:val="0"/>
      <w:divBdr>
        <w:top w:val="none" w:sz="0" w:space="0" w:color="auto"/>
        <w:left w:val="none" w:sz="0" w:space="0" w:color="auto"/>
        <w:bottom w:val="none" w:sz="0" w:space="0" w:color="auto"/>
        <w:right w:val="none" w:sz="0" w:space="0" w:color="auto"/>
      </w:divBdr>
      <w:divsChild>
        <w:div w:id="767386020">
          <w:marLeft w:val="1166"/>
          <w:marRight w:val="0"/>
          <w:marTop w:val="77"/>
          <w:marBottom w:val="0"/>
          <w:divBdr>
            <w:top w:val="none" w:sz="0" w:space="0" w:color="auto"/>
            <w:left w:val="none" w:sz="0" w:space="0" w:color="auto"/>
            <w:bottom w:val="none" w:sz="0" w:space="0" w:color="auto"/>
            <w:right w:val="none" w:sz="0" w:space="0" w:color="auto"/>
          </w:divBdr>
        </w:div>
      </w:divsChild>
    </w:div>
    <w:div w:id="1978411933">
      <w:bodyDiv w:val="1"/>
      <w:marLeft w:val="0"/>
      <w:marRight w:val="0"/>
      <w:marTop w:val="0"/>
      <w:marBottom w:val="0"/>
      <w:divBdr>
        <w:top w:val="none" w:sz="0" w:space="0" w:color="auto"/>
        <w:left w:val="none" w:sz="0" w:space="0" w:color="auto"/>
        <w:bottom w:val="none" w:sz="0" w:space="0" w:color="auto"/>
        <w:right w:val="none" w:sz="0" w:space="0" w:color="auto"/>
      </w:divBdr>
      <w:divsChild>
        <w:div w:id="154927988">
          <w:marLeft w:val="1166"/>
          <w:marRight w:val="0"/>
          <w:marTop w:val="77"/>
          <w:marBottom w:val="0"/>
          <w:divBdr>
            <w:top w:val="none" w:sz="0" w:space="0" w:color="auto"/>
            <w:left w:val="none" w:sz="0" w:space="0" w:color="auto"/>
            <w:bottom w:val="none" w:sz="0" w:space="0" w:color="auto"/>
            <w:right w:val="none" w:sz="0" w:space="0" w:color="auto"/>
          </w:divBdr>
        </w:div>
        <w:div w:id="817653643">
          <w:marLeft w:val="1166"/>
          <w:marRight w:val="0"/>
          <w:marTop w:val="77"/>
          <w:marBottom w:val="0"/>
          <w:divBdr>
            <w:top w:val="none" w:sz="0" w:space="0" w:color="auto"/>
            <w:left w:val="none" w:sz="0" w:space="0" w:color="auto"/>
            <w:bottom w:val="none" w:sz="0" w:space="0" w:color="auto"/>
            <w:right w:val="none" w:sz="0" w:space="0" w:color="auto"/>
          </w:divBdr>
        </w:div>
        <w:div w:id="849415155">
          <w:marLeft w:val="1166"/>
          <w:marRight w:val="0"/>
          <w:marTop w:val="77"/>
          <w:marBottom w:val="0"/>
          <w:divBdr>
            <w:top w:val="none" w:sz="0" w:space="0" w:color="auto"/>
            <w:left w:val="none" w:sz="0" w:space="0" w:color="auto"/>
            <w:bottom w:val="none" w:sz="0" w:space="0" w:color="auto"/>
            <w:right w:val="none" w:sz="0" w:space="0" w:color="auto"/>
          </w:divBdr>
        </w:div>
      </w:divsChild>
    </w:div>
    <w:div w:id="1986470025">
      <w:bodyDiv w:val="1"/>
      <w:marLeft w:val="0"/>
      <w:marRight w:val="0"/>
      <w:marTop w:val="0"/>
      <w:marBottom w:val="0"/>
      <w:divBdr>
        <w:top w:val="none" w:sz="0" w:space="0" w:color="auto"/>
        <w:left w:val="none" w:sz="0" w:space="0" w:color="auto"/>
        <w:bottom w:val="none" w:sz="0" w:space="0" w:color="auto"/>
        <w:right w:val="none" w:sz="0" w:space="0" w:color="auto"/>
      </w:divBdr>
      <w:divsChild>
        <w:div w:id="32001795">
          <w:marLeft w:val="1166"/>
          <w:marRight w:val="0"/>
          <w:marTop w:val="77"/>
          <w:marBottom w:val="0"/>
          <w:divBdr>
            <w:top w:val="none" w:sz="0" w:space="0" w:color="auto"/>
            <w:left w:val="none" w:sz="0" w:space="0" w:color="auto"/>
            <w:bottom w:val="none" w:sz="0" w:space="0" w:color="auto"/>
            <w:right w:val="none" w:sz="0" w:space="0" w:color="auto"/>
          </w:divBdr>
        </w:div>
        <w:div w:id="327709963">
          <w:marLeft w:val="1166"/>
          <w:marRight w:val="0"/>
          <w:marTop w:val="77"/>
          <w:marBottom w:val="0"/>
          <w:divBdr>
            <w:top w:val="none" w:sz="0" w:space="0" w:color="auto"/>
            <w:left w:val="none" w:sz="0" w:space="0" w:color="auto"/>
            <w:bottom w:val="none" w:sz="0" w:space="0" w:color="auto"/>
            <w:right w:val="none" w:sz="0" w:space="0" w:color="auto"/>
          </w:divBdr>
        </w:div>
        <w:div w:id="1594700333">
          <w:marLeft w:val="1166"/>
          <w:marRight w:val="0"/>
          <w:marTop w:val="7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24168-0DAD-4593-A359-F7F7E45FE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992</TotalTime>
  <Pages>3</Pages>
  <Words>1015</Words>
  <Characters>5040</Characters>
  <Application>Microsoft Office Word</Application>
  <DocSecurity>0</DocSecurity>
  <Lines>387</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Castle</dc:creator>
  <cp:keywords/>
  <dc:description/>
  <cp:lastModifiedBy>David Castle</cp:lastModifiedBy>
  <cp:revision>27</cp:revision>
  <dcterms:created xsi:type="dcterms:W3CDTF">2017-09-20T00:51:00Z</dcterms:created>
  <dcterms:modified xsi:type="dcterms:W3CDTF">2017-09-29T20:22:00Z</dcterms:modified>
</cp:coreProperties>
</file>