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8971D9" w14:textId="0923E9E2" w:rsidR="00F267E4" w:rsidRDefault="00F267E4" w:rsidP="00F267E4">
      <w:pPr>
        <w:pStyle w:val="Title"/>
        <w:rPr>
          <w:sz w:val="48"/>
        </w:rPr>
      </w:pPr>
      <w:r>
        <w:rPr>
          <w:sz w:val="48"/>
        </w:rPr>
        <w:t>Item 13</w:t>
      </w:r>
      <w:r w:rsidR="00036208">
        <w:rPr>
          <w:rStyle w:val="FootnoteReference"/>
          <w:sz w:val="48"/>
        </w:rPr>
        <w:footnoteReference w:id="2"/>
      </w:r>
      <w:r w:rsidRPr="006B3453">
        <w:rPr>
          <w:sz w:val="48"/>
        </w:rPr>
        <w:t xml:space="preserve">: </w:t>
      </w:r>
      <w:r>
        <w:rPr>
          <w:sz w:val="48"/>
        </w:rPr>
        <w:t>Data/Situational Awareness</w:t>
      </w:r>
    </w:p>
    <w:p w14:paraId="7B222F63" w14:textId="4A20C648" w:rsidR="00F267E4" w:rsidRPr="00F267E4" w:rsidRDefault="00F267E4" w:rsidP="00F267E4">
      <w:pPr>
        <w:numPr>
          <w:ilvl w:val="1"/>
          <w:numId w:val="0"/>
        </w:numPr>
        <w:spacing w:after="0"/>
        <w:rPr>
          <w:rFonts w:eastAsiaTheme="minorEastAsia"/>
          <w:color w:val="5A5A5A" w:themeColor="text1" w:themeTint="A5"/>
          <w:spacing w:val="15"/>
        </w:rPr>
      </w:pPr>
      <w:r w:rsidRPr="00F267E4">
        <w:rPr>
          <w:rFonts w:eastAsiaTheme="minorEastAsia"/>
          <w:color w:val="5A5A5A" w:themeColor="text1" w:themeTint="A5"/>
          <w:spacing w:val="15"/>
        </w:rPr>
        <w:t xml:space="preserve">Joint IOUs’ </w:t>
      </w:r>
      <w:r>
        <w:rPr>
          <w:rFonts w:eastAsiaTheme="minorEastAsia"/>
          <w:color w:val="5A5A5A" w:themeColor="text1" w:themeTint="A5"/>
          <w:spacing w:val="15"/>
        </w:rPr>
        <w:t>Response to SEIA</w:t>
      </w:r>
      <w:r w:rsidRPr="00F267E4">
        <w:rPr>
          <w:rFonts w:eastAsiaTheme="minorEastAsia"/>
          <w:color w:val="5A5A5A" w:themeColor="text1" w:themeTint="A5"/>
          <w:spacing w:val="15"/>
        </w:rPr>
        <w:t xml:space="preserve"> Proposal </w:t>
      </w:r>
    </w:p>
    <w:p w14:paraId="6980DB87" w14:textId="65D9643D" w:rsidR="00F267E4" w:rsidRPr="00F267E4" w:rsidRDefault="00F267E4" w:rsidP="00F267E4">
      <w:pPr>
        <w:numPr>
          <w:ilvl w:val="1"/>
          <w:numId w:val="0"/>
        </w:numPr>
        <w:spacing w:after="0"/>
        <w:rPr>
          <w:rFonts w:eastAsiaTheme="minorEastAsia"/>
          <w:color w:val="5A5A5A" w:themeColor="text1" w:themeTint="A5"/>
          <w:spacing w:val="15"/>
        </w:rPr>
      </w:pPr>
      <w:r>
        <w:rPr>
          <w:rFonts w:eastAsiaTheme="minorEastAsia"/>
          <w:color w:val="5A5A5A" w:themeColor="text1" w:themeTint="A5"/>
          <w:spacing w:val="15"/>
        </w:rPr>
        <w:t>LNBA</w:t>
      </w:r>
      <w:r w:rsidRPr="00F267E4">
        <w:rPr>
          <w:rFonts w:eastAsiaTheme="minorEastAsia"/>
          <w:color w:val="5A5A5A" w:themeColor="text1" w:themeTint="A5"/>
          <w:spacing w:val="15"/>
        </w:rPr>
        <w:t xml:space="preserve"> Working Group</w:t>
      </w:r>
    </w:p>
    <w:p w14:paraId="1171044C" w14:textId="77777777" w:rsidR="00F267E4" w:rsidRDefault="00F267E4" w:rsidP="002D5106">
      <w:pPr>
        <w:spacing w:line="240" w:lineRule="auto"/>
      </w:pPr>
    </w:p>
    <w:p w14:paraId="6F521BD1" w14:textId="2A03E69B" w:rsidR="00F267E4" w:rsidRDefault="007374A1" w:rsidP="006D144A">
      <w:pPr>
        <w:pStyle w:val="Heading1"/>
      </w:pPr>
      <w:r>
        <w:t>Summary of Response</w:t>
      </w:r>
    </w:p>
    <w:p w14:paraId="38337B09" w14:textId="5B5F9EDC" w:rsidR="007374A1" w:rsidRDefault="0079583A" w:rsidP="000B5D77">
      <w:pPr>
        <w:spacing w:line="240" w:lineRule="auto"/>
      </w:pPr>
      <w:r>
        <w:t>SEIA argues that many distributed energy resources (DERs) include monitoring equipment and communications-enabled smart inverters</w:t>
      </w:r>
      <w:r w:rsidR="00DA2C81">
        <w:t>,</w:t>
      </w:r>
      <w:r>
        <w:t xml:space="preserve"> </w:t>
      </w:r>
      <w:r w:rsidR="00DA2C81">
        <w:t>and that</w:t>
      </w:r>
      <w:r>
        <w:t xml:space="preserve"> third-party DER providers can deliver </w:t>
      </w:r>
      <w:r w:rsidR="00DA2C81">
        <w:t xml:space="preserve">DER data to utilities </w:t>
      </w:r>
      <w:r w:rsidR="009A792B">
        <w:t xml:space="preserve">so that </w:t>
      </w:r>
      <w:r w:rsidR="00587F26">
        <w:t xml:space="preserve">they can (1) </w:t>
      </w:r>
      <w:r w:rsidR="00DA2C81">
        <w:t>calculate gross load</w:t>
      </w:r>
      <w:r w:rsidR="00587F26">
        <w:t xml:space="preserve">, (2) </w:t>
      </w:r>
      <w:r w:rsidR="00DA2C81">
        <w:t xml:space="preserve">identify </w:t>
      </w:r>
      <w:r w:rsidR="00587F26">
        <w:t xml:space="preserve">and respond to </w:t>
      </w:r>
      <w:r w:rsidR="00DA2C81">
        <w:t>faults more quickly</w:t>
      </w:r>
      <w:r w:rsidR="00587F26">
        <w:t>,</w:t>
      </w:r>
      <w:r w:rsidR="009A792B">
        <w:t xml:space="preserve"> and</w:t>
      </w:r>
      <w:r w:rsidR="00587F26">
        <w:t xml:space="preserve"> (3)</w:t>
      </w:r>
      <w:r w:rsidR="009A792B">
        <w:t xml:space="preserve"> </w:t>
      </w:r>
      <w:r w:rsidR="00587F26">
        <w:t>be aware of</w:t>
      </w:r>
      <w:r w:rsidR="009A792B">
        <w:t xml:space="preserve"> power quality conditions</w:t>
      </w:r>
      <w:r w:rsidR="00BB102C">
        <w:t xml:space="preserve"> on the primary distribution system</w:t>
      </w:r>
      <w:r w:rsidR="00DA2C81">
        <w:t xml:space="preserve">. </w:t>
      </w:r>
      <w:r w:rsidR="003A728D">
        <w:t xml:space="preserve"> </w:t>
      </w:r>
      <w:r w:rsidR="00DA2C81">
        <w:t>SEIA also argues that this data would be provided at a greater frequency than what may be available through utility communications</w:t>
      </w:r>
      <w:r w:rsidR="009A792B">
        <w:t xml:space="preserve"> infrastructure.</w:t>
      </w:r>
      <w:bookmarkStart w:id="0" w:name="_GoBack"/>
      <w:bookmarkEnd w:id="0"/>
    </w:p>
    <w:p w14:paraId="41917B36" w14:textId="07A985DC" w:rsidR="00F35F98" w:rsidRDefault="00BB102C" w:rsidP="002D5106">
      <w:pPr>
        <w:spacing w:line="240" w:lineRule="auto"/>
      </w:pPr>
      <w:r>
        <w:t xml:space="preserve">While improved access to DER </w:t>
      </w:r>
      <w:r w:rsidR="00D277C9">
        <w:t xml:space="preserve">generation output </w:t>
      </w:r>
      <w:r>
        <w:t xml:space="preserve">data will help to improve grid operator situational awareness, it is insufficient for addressing </w:t>
      </w:r>
      <w:r w:rsidR="00C05FE6">
        <w:t>the utilities’</w:t>
      </w:r>
      <w:r>
        <w:t xml:space="preserve"> situational awareness needs</w:t>
      </w:r>
      <w:r w:rsidR="00E1305A">
        <w:t>, as described further below</w:t>
      </w:r>
      <w:r>
        <w:t xml:space="preserve">. </w:t>
      </w:r>
    </w:p>
    <w:p w14:paraId="7200CD61" w14:textId="17047BEB" w:rsidR="00F35F98" w:rsidRDefault="1FD0E389" w:rsidP="00545DE3">
      <w:pPr>
        <w:pStyle w:val="ListParagraph"/>
        <w:numPr>
          <w:ilvl w:val="0"/>
          <w:numId w:val="6"/>
        </w:numPr>
        <w:spacing w:before="60" w:after="60" w:line="240" w:lineRule="auto"/>
        <w:contextualSpacing w:val="0"/>
      </w:pPr>
      <w:r w:rsidRPr="1FD0E389">
        <w:rPr>
          <w:b/>
          <w:bCs/>
        </w:rPr>
        <w:t>Gross Load</w:t>
      </w:r>
      <w:r>
        <w:t xml:space="preserve"> – To calculate gross load, utilities require both generation output and net load information. </w:t>
      </w:r>
      <w:r w:rsidR="00032793">
        <w:t xml:space="preserve"> </w:t>
      </w:r>
      <w:r>
        <w:t xml:space="preserve">DERs provide generation output information, but they do not provide load </w:t>
      </w:r>
      <w:r w:rsidRPr="00545DE3">
        <w:t>information.</w:t>
      </w:r>
      <w:r w:rsidR="00790A13">
        <w:t xml:space="preserve"> </w:t>
      </w:r>
      <w:r w:rsidRPr="00545DE3">
        <w:t xml:space="preserve"> </w:t>
      </w:r>
      <w:r w:rsidR="0095694A" w:rsidRPr="00545DE3">
        <w:t xml:space="preserve">Even with real-time DER generation output information, </w:t>
      </w:r>
      <w:r w:rsidR="00545DE3" w:rsidRPr="00545DE3">
        <w:t xml:space="preserve">other infrastructure—which </w:t>
      </w:r>
      <w:r w:rsidR="0095694A" w:rsidRPr="00545DE3">
        <w:t xml:space="preserve">SEIA proposes could be </w:t>
      </w:r>
      <w:r w:rsidR="00545DE3" w:rsidRPr="00545DE3">
        <w:t>avoided—</w:t>
      </w:r>
      <w:r w:rsidR="0095694A" w:rsidRPr="00545DE3">
        <w:t>would still be needed in order to obtain real-time load information.</w:t>
      </w:r>
      <w:r w:rsidR="00032793" w:rsidRPr="00545DE3">
        <w:t xml:space="preserve"> </w:t>
      </w:r>
      <w:r w:rsidR="00545DE3" w:rsidRPr="00545DE3">
        <w:t xml:space="preserve"> </w:t>
      </w:r>
      <w:r w:rsidR="003B6F9A" w:rsidRPr="00545DE3">
        <w:t xml:space="preserve">Furthermore, </w:t>
      </w:r>
      <w:r w:rsidR="00D622CE" w:rsidRPr="00545DE3">
        <w:t>DER generation</w:t>
      </w:r>
      <w:r w:rsidR="003B6F9A" w:rsidRPr="00545DE3">
        <w:t xml:space="preserve"> data could only be obtained from a subset of DERs that have smart </w:t>
      </w:r>
      <w:r w:rsidR="00D622CE" w:rsidRPr="00545DE3">
        <w:t>inverters</w:t>
      </w:r>
      <w:r w:rsidR="003B6F9A" w:rsidRPr="00545DE3">
        <w:t xml:space="preserve"> and sufficiently reliable communication, and it is unclear</w:t>
      </w:r>
      <w:r w:rsidR="003B6F9A">
        <w:t xml:space="preserve"> whether this incomplete data would be an improvement on methods the IOUs currently have to estimate </w:t>
      </w:r>
      <w:proofErr w:type="gramStart"/>
      <w:r w:rsidR="003B6F9A">
        <w:t>gross</w:t>
      </w:r>
      <w:proofErr w:type="gramEnd"/>
      <w:r w:rsidR="003B6F9A">
        <w:t xml:space="preserve"> </w:t>
      </w:r>
      <w:r w:rsidR="00196C43">
        <w:t>DER generation</w:t>
      </w:r>
      <w:r w:rsidR="003B6F9A">
        <w:t xml:space="preserve">. </w:t>
      </w:r>
    </w:p>
    <w:p w14:paraId="413A6FEE" w14:textId="35A50D9F" w:rsidR="00F35F98" w:rsidRDefault="1FD0E389" w:rsidP="004B31BA">
      <w:pPr>
        <w:pStyle w:val="ListParagraph"/>
        <w:numPr>
          <w:ilvl w:val="0"/>
          <w:numId w:val="6"/>
        </w:numPr>
        <w:spacing w:before="60" w:after="60" w:line="240" w:lineRule="auto"/>
        <w:contextualSpacing w:val="0"/>
      </w:pPr>
      <w:r w:rsidRPr="1FD0E389">
        <w:rPr>
          <w:b/>
          <w:bCs/>
        </w:rPr>
        <w:t>Fault Identification</w:t>
      </w:r>
      <w:r>
        <w:t xml:space="preserve"> – </w:t>
      </w:r>
      <w:r w:rsidR="00B55886">
        <w:t xml:space="preserve">The IOUs disagree with </w:t>
      </w:r>
      <w:r>
        <w:t>SEIA’s</w:t>
      </w:r>
      <w:r w:rsidR="00E55B18">
        <w:t xml:space="preserve"> claim that DERs can </w:t>
      </w:r>
      <w:r w:rsidR="00CF2524">
        <w:t xml:space="preserve">improve identification of </w:t>
      </w:r>
      <w:r>
        <w:t>fault locations for faster restoration</w:t>
      </w:r>
      <w:r w:rsidR="00B55886">
        <w:t xml:space="preserve"> because </w:t>
      </w:r>
      <w:r w:rsidR="00D251EF">
        <w:t>(</w:t>
      </w:r>
      <w:r w:rsidR="00B55886">
        <w:t>1)</w:t>
      </w:r>
      <w:r>
        <w:t xml:space="preserve"> DERs </w:t>
      </w:r>
      <w:r w:rsidR="00E55B18">
        <w:t>can</w:t>
      </w:r>
      <w:r>
        <w:t xml:space="preserve"> </w:t>
      </w:r>
      <w:r w:rsidR="00CB59F3">
        <w:t xml:space="preserve">only </w:t>
      </w:r>
      <w:r>
        <w:t>provide</w:t>
      </w:r>
      <w:r w:rsidR="003500D6">
        <w:t xml:space="preserve"> data</w:t>
      </w:r>
      <w:r w:rsidR="003D07A4">
        <w:t xml:space="preserve"> </w:t>
      </w:r>
      <w:r w:rsidR="00CB59F3">
        <w:t>that the IOUs</w:t>
      </w:r>
      <w:r w:rsidR="003500D6">
        <w:t xml:space="preserve"> already obtain </w:t>
      </w:r>
      <w:r w:rsidR="000C1BDA">
        <w:t xml:space="preserve">today </w:t>
      </w:r>
      <w:r w:rsidR="00B55886">
        <w:t xml:space="preserve">via </w:t>
      </w:r>
      <w:r w:rsidR="00145751">
        <w:t>advanced metering infrastructure (</w:t>
      </w:r>
      <w:r w:rsidR="00B55886">
        <w:t>AMI</w:t>
      </w:r>
      <w:r w:rsidR="00145751">
        <w:t>)</w:t>
      </w:r>
      <w:r w:rsidR="00B55886">
        <w:t xml:space="preserve"> </w:t>
      </w:r>
      <w:r w:rsidR="003500D6">
        <w:t xml:space="preserve">to assist with </w:t>
      </w:r>
      <w:r w:rsidR="00B55886">
        <w:t xml:space="preserve">signaling that a fault exists in an area and </w:t>
      </w:r>
      <w:r w:rsidR="00D251EF">
        <w:t>(</w:t>
      </w:r>
      <w:r w:rsidR="00B55886">
        <w:t>2)</w:t>
      </w:r>
      <w:r w:rsidR="003500D6">
        <w:t xml:space="preserve"> </w:t>
      </w:r>
      <w:r w:rsidR="00B55886">
        <w:t>it is impossible for DER data (or any device at the customer level, including smart meters and AMI) to actually locate the fault</w:t>
      </w:r>
      <w:r w:rsidR="003D07A4">
        <w:t>ed circuit segment</w:t>
      </w:r>
      <w:r>
        <w:t xml:space="preserve">.  Although DERs may be capable of identifying when </w:t>
      </w:r>
      <w:r w:rsidR="00A8689F">
        <w:t>a customer</w:t>
      </w:r>
      <w:r>
        <w:t xml:space="preserve"> is experiencing a service outage (typically internal to a customer’s electrical system), the utilities’ AMI systems already provide </w:t>
      </w:r>
      <w:r w:rsidR="00D251EF">
        <w:t xml:space="preserve">this information </w:t>
      </w:r>
      <w:r w:rsidR="00E55B18">
        <w:t>today</w:t>
      </w:r>
      <w:r w:rsidR="002C7E75">
        <w:t xml:space="preserve">. </w:t>
      </w:r>
      <w:r w:rsidR="00145751">
        <w:t xml:space="preserve"> </w:t>
      </w:r>
      <w:r w:rsidR="00A8689F">
        <w:t xml:space="preserve">While this </w:t>
      </w:r>
      <w:r w:rsidR="002C7E75">
        <w:t xml:space="preserve">AMI </w:t>
      </w:r>
      <w:r>
        <w:t xml:space="preserve">outage information is </w:t>
      </w:r>
      <w:r w:rsidR="002C7E75">
        <w:t xml:space="preserve">already used to </w:t>
      </w:r>
      <w:r w:rsidR="003500D6">
        <w:t>signal a</w:t>
      </w:r>
      <w:r w:rsidR="002C7E75">
        <w:t xml:space="preserve"> fault today</w:t>
      </w:r>
      <w:r w:rsidR="00A8689F">
        <w:t>,</w:t>
      </w:r>
      <w:r w:rsidR="002C7E75">
        <w:t xml:space="preserve"> </w:t>
      </w:r>
      <w:r w:rsidR="00A8689F">
        <w:t>it</w:t>
      </w:r>
      <w:r w:rsidR="002C7E75">
        <w:t xml:space="preserve"> is </w:t>
      </w:r>
      <w:r w:rsidR="00145751">
        <w:t>in</w:t>
      </w:r>
      <w:r w:rsidR="002C7E75">
        <w:t xml:space="preserve">sufficient </w:t>
      </w:r>
      <w:r w:rsidR="00A8689F">
        <w:t xml:space="preserve">for locating </w:t>
      </w:r>
      <w:r>
        <w:t>fault</w:t>
      </w:r>
      <w:r w:rsidR="00A8689F">
        <w:t>s</w:t>
      </w:r>
      <w:r>
        <w:t xml:space="preserve">, especially </w:t>
      </w:r>
      <w:r w:rsidR="00145751">
        <w:t xml:space="preserve">for </w:t>
      </w:r>
      <w:r>
        <w:t xml:space="preserve">outages spanning multiple circuit segments.  </w:t>
      </w:r>
      <w:r w:rsidR="002C7E75">
        <w:t xml:space="preserve">Line sensors, SCADA data and </w:t>
      </w:r>
      <w:r>
        <w:t xml:space="preserve">fault indicators on the primary distribution system provide </w:t>
      </w:r>
      <w:r w:rsidR="002C7E75">
        <w:t xml:space="preserve">the additional information (e.g. magnitude, direction and distance) needed for </w:t>
      </w:r>
      <w:r>
        <w:t>more precise fault location</w:t>
      </w:r>
      <w:r w:rsidR="00FB2E2C">
        <w:t xml:space="preserve"> calculation</w:t>
      </w:r>
      <w:r w:rsidR="002C7E75">
        <w:t>,</w:t>
      </w:r>
      <w:r>
        <w:t xml:space="preserve"> information that DERs and AMI cannot provide. </w:t>
      </w:r>
      <w:r w:rsidR="00032793">
        <w:t xml:space="preserve"> </w:t>
      </w:r>
      <w:r>
        <w:t xml:space="preserve">Fault indicators placed directly on the primary distribution line provide the </w:t>
      </w:r>
      <w:r w:rsidR="00E55B18">
        <w:t xml:space="preserve">fault </w:t>
      </w:r>
      <w:r>
        <w:t>direction and more precise fault location necessary for faster fault identification</w:t>
      </w:r>
      <w:r w:rsidR="00E55B18">
        <w:t>.</w:t>
      </w:r>
      <w:r w:rsidR="00A8689F" w:rsidDel="00A8689F">
        <w:t xml:space="preserve"> </w:t>
      </w:r>
    </w:p>
    <w:p w14:paraId="441E9820" w14:textId="0E7AEC59" w:rsidR="00F35F98" w:rsidRDefault="00F35F98" w:rsidP="004B31BA">
      <w:pPr>
        <w:pStyle w:val="ListParagraph"/>
        <w:numPr>
          <w:ilvl w:val="0"/>
          <w:numId w:val="6"/>
        </w:numPr>
        <w:spacing w:before="60" w:after="60" w:line="240" w:lineRule="auto"/>
        <w:contextualSpacing w:val="0"/>
      </w:pPr>
      <w:r>
        <w:rPr>
          <w:b/>
        </w:rPr>
        <w:t>Power Quality</w:t>
      </w:r>
      <w:r w:rsidR="001606D9" w:rsidRPr="00655391">
        <w:t xml:space="preserve"> </w:t>
      </w:r>
      <w:r w:rsidR="001606D9">
        <w:t xml:space="preserve">– </w:t>
      </w:r>
      <w:r w:rsidR="000121E1">
        <w:t xml:space="preserve">DERs can provide voltage at </w:t>
      </w:r>
      <w:r>
        <w:t>their respective locations</w:t>
      </w:r>
      <w:r w:rsidR="00D21980">
        <w:t>, typically within a customer’s electrical system,</w:t>
      </w:r>
      <w:r>
        <w:t xml:space="preserve"> </w:t>
      </w:r>
      <w:r w:rsidR="000121E1">
        <w:t xml:space="preserve">but not </w:t>
      </w:r>
      <w:r w:rsidR="0042737B">
        <w:t>on</w:t>
      </w:r>
      <w:r w:rsidR="000121E1">
        <w:t xml:space="preserve"> the primary</w:t>
      </w:r>
      <w:r>
        <w:t xml:space="preserve"> distribution system</w:t>
      </w:r>
      <w:r w:rsidR="000121E1">
        <w:t xml:space="preserve">. </w:t>
      </w:r>
      <w:r w:rsidR="003A728D">
        <w:t xml:space="preserve"> </w:t>
      </w:r>
      <w:r w:rsidR="00CF34B6">
        <w:t>This</w:t>
      </w:r>
      <w:r w:rsidR="00023D86">
        <w:t xml:space="preserve"> information could </w:t>
      </w:r>
      <w:r w:rsidR="00023D86">
        <w:lastRenderedPageBreak/>
        <w:t>potentially be used as a means to determine secondary distribution system</w:t>
      </w:r>
      <w:r w:rsidR="00E55B18">
        <w:t xml:space="preserve"> voltage conditions. However, </w:t>
      </w:r>
      <w:r w:rsidR="00023D86">
        <w:t>DER</w:t>
      </w:r>
      <w:r w:rsidR="00E55B18">
        <w:t>s</w:t>
      </w:r>
      <w:r w:rsidR="00023D86">
        <w:t xml:space="preserve"> </w:t>
      </w:r>
      <w:r w:rsidR="00E55B18">
        <w:t>cannot</w:t>
      </w:r>
      <w:r w:rsidR="00023D86">
        <w:t xml:space="preserve"> provide voltage information on the primary distribution system</w:t>
      </w:r>
      <w:r w:rsidR="00FE171A">
        <w:t xml:space="preserve"> </w:t>
      </w:r>
      <w:r w:rsidR="00E55B18">
        <w:t>since</w:t>
      </w:r>
      <w:r w:rsidR="00FE171A">
        <w:t xml:space="preserve"> </w:t>
      </w:r>
      <w:r w:rsidR="00E55B18">
        <w:t>they are</w:t>
      </w:r>
      <w:r w:rsidR="00023D86">
        <w:t xml:space="preserve"> not directly connected to the primary system. </w:t>
      </w:r>
      <w:r w:rsidR="006F221D">
        <w:t xml:space="preserve"> The utilities’ AMI systems can provide v</w:t>
      </w:r>
      <w:r w:rsidR="008C768B">
        <w:t xml:space="preserve">oltage at these </w:t>
      </w:r>
      <w:r w:rsidR="006F221D">
        <w:t xml:space="preserve">secondary distribution system </w:t>
      </w:r>
      <w:r w:rsidR="008C768B">
        <w:t>locations</w:t>
      </w:r>
      <w:r w:rsidR="000121E1">
        <w:t xml:space="preserve"> </w:t>
      </w:r>
      <w:r>
        <w:t>today</w:t>
      </w:r>
      <w:r w:rsidR="000121E1">
        <w:t xml:space="preserve">. </w:t>
      </w:r>
      <w:r w:rsidR="003A728D">
        <w:t xml:space="preserve"> </w:t>
      </w:r>
      <w:r w:rsidR="00980944">
        <w:t>Although the AMI system</w:t>
      </w:r>
      <w:r w:rsidR="006F221D">
        <w:t>s</w:t>
      </w:r>
      <w:r w:rsidR="00980944">
        <w:t xml:space="preserve"> generally only provide this information once per day, th</w:t>
      </w:r>
      <w:r w:rsidR="008350FF">
        <w:t>e reporting frequency can be increased when and where necessary</w:t>
      </w:r>
      <w:r w:rsidR="00AA7C6B">
        <w:t>, and the IOUs are exploring expansion of voltage reporting frequency and granularity</w:t>
      </w:r>
      <w:r w:rsidR="003D07A4">
        <w:t>,</w:t>
      </w:r>
      <w:r w:rsidR="00AA7C6B">
        <w:t xml:space="preserve"> where justified</w:t>
      </w:r>
      <w:r w:rsidR="00980944">
        <w:t>.</w:t>
      </w:r>
      <w:r w:rsidR="00AA7C6B">
        <w:rPr>
          <w:rStyle w:val="FootnoteReference"/>
        </w:rPr>
        <w:footnoteReference w:id="3"/>
      </w:r>
    </w:p>
    <w:p w14:paraId="003965C7" w14:textId="0F1A864F" w:rsidR="00F267E4" w:rsidRDefault="00F35F98" w:rsidP="004B31BA">
      <w:pPr>
        <w:pStyle w:val="ListParagraph"/>
        <w:numPr>
          <w:ilvl w:val="0"/>
          <w:numId w:val="6"/>
        </w:numPr>
        <w:spacing w:before="60" w:after="60" w:line="240" w:lineRule="auto"/>
        <w:contextualSpacing w:val="0"/>
      </w:pPr>
      <w:r>
        <w:rPr>
          <w:b/>
        </w:rPr>
        <w:t>Reporting Frequency</w:t>
      </w:r>
      <w:r w:rsidR="001606D9" w:rsidRPr="00655391">
        <w:t xml:space="preserve"> </w:t>
      </w:r>
      <w:r w:rsidR="001606D9">
        <w:t xml:space="preserve">– </w:t>
      </w:r>
      <w:r>
        <w:t>A</w:t>
      </w:r>
      <w:r w:rsidR="000121E1">
        <w:t xml:space="preserve">lthough DERs may be </w:t>
      </w:r>
      <w:r w:rsidR="00B81A88">
        <w:t>capable of</w:t>
      </w:r>
      <w:r w:rsidR="000121E1">
        <w:t xml:space="preserve"> provid</w:t>
      </w:r>
      <w:r w:rsidR="00B81A88">
        <w:t>ing</w:t>
      </w:r>
      <w:r w:rsidR="000121E1">
        <w:t xml:space="preserve"> </w:t>
      </w:r>
      <w:r w:rsidR="008B454A">
        <w:t xml:space="preserve">customer </w:t>
      </w:r>
      <w:r w:rsidR="00CF34B6">
        <w:t xml:space="preserve">outage and voltage </w:t>
      </w:r>
      <w:r w:rsidR="000121E1">
        <w:t xml:space="preserve">information more frequently than </w:t>
      </w:r>
      <w:r w:rsidR="003231A5">
        <w:t xml:space="preserve">currently </w:t>
      </w:r>
      <w:r w:rsidR="00497C97">
        <w:t>provided by</w:t>
      </w:r>
      <w:r w:rsidR="003231A5">
        <w:t xml:space="preserve"> </w:t>
      </w:r>
      <w:r w:rsidR="00B81A88">
        <w:t xml:space="preserve">the utilities’ </w:t>
      </w:r>
      <w:r w:rsidR="000121E1">
        <w:t>AMI system</w:t>
      </w:r>
      <w:r w:rsidR="00CC70F4">
        <w:t>s</w:t>
      </w:r>
      <w:r w:rsidR="000121E1">
        <w:t xml:space="preserve">, </w:t>
      </w:r>
      <w:r w:rsidR="00CC70F4">
        <w:t xml:space="preserve">this is </w:t>
      </w:r>
      <w:r w:rsidR="003231A5">
        <w:t xml:space="preserve">not </w:t>
      </w:r>
      <w:r w:rsidR="003D07A4">
        <w:t>necessary</w:t>
      </w:r>
      <w:r w:rsidR="00CC70F4">
        <w:t xml:space="preserve">. </w:t>
      </w:r>
      <w:r w:rsidR="003A728D">
        <w:t xml:space="preserve"> </w:t>
      </w:r>
      <w:r w:rsidR="00CC70F4">
        <w:t xml:space="preserve">While the utilities would like to receive generation output information in real-time, the utilities would not benefit </w:t>
      </w:r>
      <w:r w:rsidR="0042737B">
        <w:t xml:space="preserve">from </w:t>
      </w:r>
      <w:r w:rsidR="00CC70F4">
        <w:t xml:space="preserve">DERs providing real-time outage or power quality information. </w:t>
      </w:r>
    </w:p>
    <w:p w14:paraId="064E4479" w14:textId="0BDFA99F" w:rsidR="00112A4A" w:rsidRDefault="00112A4A" w:rsidP="00D336CE">
      <w:pPr>
        <w:spacing w:before="160" w:line="240" w:lineRule="auto"/>
      </w:pPr>
      <w:r>
        <w:t xml:space="preserve">SEIA </w:t>
      </w:r>
      <w:r w:rsidR="00704A5F">
        <w:t>proposes</w:t>
      </w:r>
      <w:r w:rsidR="00676996">
        <w:t xml:space="preserve"> that</w:t>
      </w:r>
      <w:r>
        <w:t xml:space="preserve"> the value of this DER data </w:t>
      </w:r>
      <w:r w:rsidR="00676996">
        <w:t>is equivalent to the avoided cost of</w:t>
      </w:r>
      <w:r w:rsidR="00704A5F">
        <w:t xml:space="preserve"> (1) additional wireless communications bandwidth for backhauling the data, (2) additional metering of onsite generation, (3) reduced truck rolls, and (4) line sensors. </w:t>
      </w:r>
      <w:r w:rsidR="003A728D">
        <w:t xml:space="preserve"> </w:t>
      </w:r>
      <w:r w:rsidR="00704A5F">
        <w:t xml:space="preserve">The DER data described in SEIA’s proposal would result in no avoided cost to the utilities. </w:t>
      </w:r>
      <w:r w:rsidR="003A728D">
        <w:t xml:space="preserve"> </w:t>
      </w:r>
      <w:r w:rsidR="00704A5F">
        <w:t xml:space="preserve">As such, SEIA’s proposed method of calculating the value of DER data is </w:t>
      </w:r>
      <w:r w:rsidR="00B9235D">
        <w:t>misguided</w:t>
      </w:r>
      <w:r w:rsidR="00704A5F">
        <w:t xml:space="preserve"> and should be disregarded. </w:t>
      </w:r>
    </w:p>
    <w:p w14:paraId="0B61D58A" w14:textId="77777777" w:rsidR="009F0215" w:rsidRPr="009F0215" w:rsidRDefault="009F0215" w:rsidP="00F267E4">
      <w:pPr>
        <w:pStyle w:val="Heading1"/>
      </w:pPr>
      <w:r>
        <w:t>Situational Awareness</w:t>
      </w:r>
    </w:p>
    <w:p w14:paraId="4349D3B1" w14:textId="13E285C1" w:rsidR="00975AF6" w:rsidRPr="00F267E4" w:rsidRDefault="00D148A4" w:rsidP="002D5106">
      <w:pPr>
        <w:spacing w:line="240" w:lineRule="auto"/>
      </w:pPr>
      <w:r w:rsidRPr="00F267E4">
        <w:t>In defining the term “situational awareness,</w:t>
      </w:r>
      <w:r w:rsidR="00C333A2" w:rsidRPr="00F267E4">
        <w:t>”</w:t>
      </w:r>
      <w:r w:rsidRPr="00F267E4">
        <w:t xml:space="preserve"> SEIA quotes the Department of Energy’s definition of the modern distr</w:t>
      </w:r>
      <w:r w:rsidR="00975AF6" w:rsidRPr="00F267E4">
        <w:t>ibution system platform (</w:t>
      </w:r>
      <w:proofErr w:type="spellStart"/>
      <w:r w:rsidR="00975AF6" w:rsidRPr="00F267E4">
        <w:t>DSPx</w:t>
      </w:r>
      <w:proofErr w:type="spellEnd"/>
      <w:r w:rsidR="00975AF6" w:rsidRPr="00F267E4">
        <w:t>)</w:t>
      </w:r>
      <w:r w:rsidR="00026759">
        <w:t>, which, in part, states:</w:t>
      </w:r>
    </w:p>
    <w:p w14:paraId="024B0EDD" w14:textId="6FF867BB" w:rsidR="00975AF6" w:rsidRPr="0041004C" w:rsidRDefault="00D148A4" w:rsidP="0041004C">
      <w:pPr>
        <w:spacing w:line="240" w:lineRule="auto"/>
        <w:ind w:left="720"/>
      </w:pPr>
      <w:r w:rsidRPr="0041004C">
        <w:t xml:space="preserve">The analog-to-digital transformation of the distribution grid requires a much </w:t>
      </w:r>
      <w:r w:rsidRPr="0041004C">
        <w:rPr>
          <w:b/>
        </w:rPr>
        <w:t>improved awareness of the current grid configuration, asset information and condition, power flows, and events</w:t>
      </w:r>
      <w:r w:rsidRPr="0041004C">
        <w:t xml:space="preserve"> to operate the distribution grid reliably, safely, and efficiently.</w:t>
      </w:r>
      <w:r w:rsidR="003A728D" w:rsidRPr="0041004C">
        <w:t xml:space="preserve"> </w:t>
      </w:r>
      <w:r w:rsidRPr="0041004C">
        <w:t xml:space="preserve"> </w:t>
      </w:r>
      <w:r w:rsidRPr="0041004C">
        <w:rPr>
          <w:b/>
        </w:rPr>
        <w:t>This may include visibility of all steady-state grid conditions such as criteria violations, equipment failures, customer outages, and cybersecurity</w:t>
      </w:r>
      <w:r w:rsidRPr="0041004C">
        <w:t>. DER situational awareness is also required to operate a grid with higher DER and optimize DER services to achieve maximum public benefit.</w:t>
      </w:r>
      <w:r w:rsidR="00C333A2" w:rsidRPr="0041004C">
        <w:rPr>
          <w:rStyle w:val="FootnoteReference"/>
        </w:rPr>
        <w:footnoteReference w:id="4"/>
      </w:r>
      <w:r w:rsidRPr="0041004C">
        <w:t xml:space="preserve"> </w:t>
      </w:r>
    </w:p>
    <w:p w14:paraId="1485D46F" w14:textId="70BEE7A7" w:rsidR="000F03D2" w:rsidRPr="00F267E4" w:rsidRDefault="00D148A4" w:rsidP="002D5106">
      <w:pPr>
        <w:spacing w:line="240" w:lineRule="auto"/>
      </w:pPr>
      <w:r w:rsidRPr="00F267E4">
        <w:t xml:space="preserve">The </w:t>
      </w:r>
      <w:r w:rsidR="003B6AFE">
        <w:t>utilities</w:t>
      </w:r>
      <w:r w:rsidRPr="00F267E4">
        <w:t xml:space="preserve"> agree with this definition. In fact, </w:t>
      </w:r>
      <w:r w:rsidR="00091DFC" w:rsidRPr="00F267E4">
        <w:t>improved grid operator visibility</w:t>
      </w:r>
      <w:r w:rsidRPr="00F267E4">
        <w:t xml:space="preserve"> of “power flows and events”</w:t>
      </w:r>
      <w:r w:rsidR="00336BE6" w:rsidRPr="00F267E4">
        <w:t xml:space="preserve"> are two </w:t>
      </w:r>
      <w:r w:rsidRPr="00F267E4">
        <w:t>core capabilities the</w:t>
      </w:r>
      <w:r w:rsidR="003B6AFE">
        <w:t xml:space="preserve"> utilities</w:t>
      </w:r>
      <w:r w:rsidRPr="00F267E4">
        <w:t xml:space="preserve"> are seeking to develop through grid modernization.</w:t>
      </w:r>
    </w:p>
    <w:p w14:paraId="6D3356E1" w14:textId="56E40127" w:rsidR="001E3A59" w:rsidRPr="002D5106" w:rsidRDefault="00D336CE" w:rsidP="00F267E4">
      <w:pPr>
        <w:pStyle w:val="Heading1"/>
      </w:pPr>
      <w:r>
        <w:t>Gross Load</w:t>
      </w:r>
    </w:p>
    <w:p w14:paraId="7A1FB1AD" w14:textId="6C2E5E92" w:rsidR="00A37F28" w:rsidRDefault="00336BE6" w:rsidP="001436D5">
      <w:pPr>
        <w:spacing w:line="240" w:lineRule="auto"/>
      </w:pPr>
      <w:r>
        <w:t xml:space="preserve">As the amount of installed DER capacity continues to </w:t>
      </w:r>
      <w:r w:rsidR="00E459AC">
        <w:t>increase</w:t>
      </w:r>
      <w:r>
        <w:t xml:space="preserve">, the principal </w:t>
      </w:r>
      <w:r w:rsidR="001E3A59">
        <w:t xml:space="preserve">“situational awareness” </w:t>
      </w:r>
      <w:r>
        <w:t>challenge face</w:t>
      </w:r>
      <w:r w:rsidR="001E3A59">
        <w:t>d</w:t>
      </w:r>
      <w:r>
        <w:t xml:space="preserve"> by utilities </w:t>
      </w:r>
      <w:r w:rsidR="001E3A59">
        <w:t>is</w:t>
      </w:r>
      <w:r>
        <w:t xml:space="preserve"> “masked load.” </w:t>
      </w:r>
      <w:r w:rsidR="003A728D">
        <w:t xml:space="preserve"> </w:t>
      </w:r>
      <w:r>
        <w:t>Masked load refers to the load on a circuit that</w:t>
      </w:r>
      <w:r w:rsidR="00155484">
        <w:t>, because it</w:t>
      </w:r>
      <w:r>
        <w:t xml:space="preserve"> is served by customer-sited generation</w:t>
      </w:r>
      <w:r w:rsidR="00155484">
        <w:t xml:space="preserve">, </w:t>
      </w:r>
      <w:r>
        <w:t xml:space="preserve">the grid operator </w:t>
      </w:r>
      <w:r w:rsidR="00A37F28">
        <w:t>cannot see</w:t>
      </w:r>
      <w:r>
        <w:t xml:space="preserve">. </w:t>
      </w:r>
      <w:r w:rsidR="0095252F">
        <w:t xml:space="preserve"> </w:t>
      </w:r>
      <w:r>
        <w:t xml:space="preserve">Real-time load data for </w:t>
      </w:r>
      <w:r w:rsidR="00762F15">
        <w:t>each</w:t>
      </w:r>
      <w:r>
        <w:t xml:space="preserve"> circuit is available to the operator at the substation. </w:t>
      </w:r>
      <w:r w:rsidR="003A728D">
        <w:t xml:space="preserve"> </w:t>
      </w:r>
      <w:r>
        <w:t>On circuits without DERs, this load data is sufficient for operators to estimate load levels along the circuit.</w:t>
      </w:r>
      <w:r w:rsidR="003A728D">
        <w:t xml:space="preserve"> </w:t>
      </w:r>
      <w:r>
        <w:t xml:space="preserve"> On circuits with DERs, however, load is </w:t>
      </w:r>
      <w:r w:rsidR="000C73FC">
        <w:t xml:space="preserve">partially </w:t>
      </w:r>
      <w:r w:rsidR="00E459AC">
        <w:t>offset</w:t>
      </w:r>
      <w:r>
        <w:t xml:space="preserve"> by the DER generation</w:t>
      </w:r>
      <w:r w:rsidR="00E459AC">
        <w:t>, and the operators only see the net load (gross load minus the DER generation)</w:t>
      </w:r>
      <w:r>
        <w:t xml:space="preserve">. </w:t>
      </w:r>
      <w:r w:rsidR="003A728D">
        <w:t xml:space="preserve"> </w:t>
      </w:r>
    </w:p>
    <w:p w14:paraId="6598DB30" w14:textId="415A2CD3" w:rsidR="00336BE6" w:rsidRDefault="003D07A4" w:rsidP="001436D5">
      <w:pPr>
        <w:spacing w:line="240" w:lineRule="auto"/>
      </w:pPr>
      <w:r>
        <w:t>F</w:t>
      </w:r>
      <w:r w:rsidR="00336BE6">
        <w:t>rom the operator’s perspective, some load is masked by DER generation such that the operator is unaware that it exists.</w:t>
      </w:r>
      <w:r w:rsidR="003A728D">
        <w:t xml:space="preserve"> </w:t>
      </w:r>
      <w:r w:rsidR="00336BE6">
        <w:t xml:space="preserve"> This limits the grid operators’ situational awareness and results in </w:t>
      </w:r>
      <w:r w:rsidR="002A141C">
        <w:t xml:space="preserve">them </w:t>
      </w:r>
      <w:r w:rsidR="00336BE6">
        <w:t xml:space="preserve">having to </w:t>
      </w:r>
      <w:r w:rsidR="002A141C">
        <w:lastRenderedPageBreak/>
        <w:t xml:space="preserve">use </w:t>
      </w:r>
      <w:r w:rsidR="00336BE6">
        <w:t>conservative assumptions when making switching decisions</w:t>
      </w:r>
      <w:r w:rsidR="00A94F07">
        <w:t xml:space="preserve"> to avoid configuring the system so that, if the DER output is reduced for any reason, the now “un-masked” load causes the circuit to be overloaded</w:t>
      </w:r>
      <w:r w:rsidR="00336BE6">
        <w:t>.</w:t>
      </w:r>
      <w:r w:rsidR="003A728D">
        <w:t xml:space="preserve"> </w:t>
      </w:r>
      <w:r w:rsidR="00336BE6">
        <w:t xml:space="preserve"> Since grid operators are unaware of the gross load on the circuit—</w:t>
      </w:r>
      <w:r w:rsidR="00A94F07">
        <w:t>for both the</w:t>
      </w:r>
      <w:r w:rsidR="00336BE6">
        <w:t xml:space="preserve"> circuit as a whole </w:t>
      </w:r>
      <w:r w:rsidR="00A94F07">
        <w:t>as well as</w:t>
      </w:r>
      <w:r w:rsidR="00336BE6">
        <w:t xml:space="preserve"> individual circuit segments—they need to exercise greater caution when transferring load to an adjacent circuit. </w:t>
      </w:r>
      <w:r w:rsidR="003A728D">
        <w:t xml:space="preserve"> </w:t>
      </w:r>
      <w:r w:rsidR="00336BE6">
        <w:t xml:space="preserve">This is necessary to prevent overloading the adjacent circuit </w:t>
      </w:r>
      <w:r w:rsidR="003B3E53">
        <w:t xml:space="preserve">by serving customer load in excess of capacity limits </w:t>
      </w:r>
      <w:r w:rsidR="00336BE6">
        <w:t>and ther</w:t>
      </w:r>
      <w:r w:rsidR="00A37F28">
        <w:t xml:space="preserve">eby extending the impact of </w:t>
      </w:r>
      <w:r w:rsidR="00336BE6">
        <w:t>outage</w:t>
      </w:r>
      <w:r w:rsidR="00A37F28">
        <w:t>s</w:t>
      </w:r>
      <w:r w:rsidR="00336BE6">
        <w:t xml:space="preserve">. </w:t>
      </w:r>
    </w:p>
    <w:p w14:paraId="341DBE8B" w14:textId="7BD99D21" w:rsidR="00336BE6" w:rsidRDefault="00336BE6" w:rsidP="002D5106">
      <w:pPr>
        <w:spacing w:line="240" w:lineRule="auto"/>
      </w:pPr>
      <w:r>
        <w:t xml:space="preserve">Resolving the masked load issue requires that grid operators know the real-time gross load for each discrete circuit segment. </w:t>
      </w:r>
      <w:r w:rsidR="003A728D">
        <w:t xml:space="preserve"> </w:t>
      </w:r>
      <w:r>
        <w:t xml:space="preserve">Gross load equals net load plus DER generation. </w:t>
      </w:r>
      <w:r w:rsidR="003A728D">
        <w:t xml:space="preserve"> </w:t>
      </w:r>
      <w:r>
        <w:t xml:space="preserve">To calculate the real-time gross load for each circuit segment, grid operators </w:t>
      </w:r>
      <w:r w:rsidR="00E459AC">
        <w:t>need</w:t>
      </w:r>
      <w:r>
        <w:t xml:space="preserve"> both net load and DER generation in real</w:t>
      </w:r>
      <w:r w:rsidR="00E459AC">
        <w:t>-</w:t>
      </w:r>
      <w:r>
        <w:t>time.</w:t>
      </w:r>
    </w:p>
    <w:p w14:paraId="35638789" w14:textId="1DAB13E0" w:rsidR="00A37F28" w:rsidRDefault="00A37F28" w:rsidP="00A37F28">
      <w:pPr>
        <w:spacing w:line="240" w:lineRule="auto"/>
      </w:pPr>
      <w:r>
        <w:t xml:space="preserve">SEIA proposes that the </w:t>
      </w:r>
      <w:r w:rsidR="00CC0E4F">
        <w:t>utilities</w:t>
      </w:r>
      <w:r>
        <w:t xml:space="preserve"> use DER data in lieu of using </w:t>
      </w:r>
      <w:r w:rsidR="00CC0E4F">
        <w:t>utility</w:t>
      </w:r>
      <w:r>
        <w:t xml:space="preserve"> grid equipment (such as remote fault indicators and smart switches) to calculate gross load.  SEIA claims that by providing DER information to utilities</w:t>
      </w:r>
      <w:r w:rsidR="00CC0E4F">
        <w:t>’</w:t>
      </w:r>
      <w:r>
        <w:t xml:space="preserve"> distributed energy resources management systems (DERMS), that utilities can “calculate gross load and more generally understand loading profiles.”</w:t>
      </w:r>
      <w:r>
        <w:rPr>
          <w:rStyle w:val="FootnoteReference"/>
        </w:rPr>
        <w:footnoteReference w:id="5"/>
      </w:r>
      <w:r>
        <w:t xml:space="preserve">  SEIA also states that “DERs can also provide loading information at each site.”</w:t>
      </w:r>
      <w:r>
        <w:rPr>
          <w:rStyle w:val="FootnoteReference"/>
        </w:rPr>
        <w:footnoteReference w:id="6"/>
      </w:r>
      <w:r>
        <w:t xml:space="preserve">  </w:t>
      </w:r>
    </w:p>
    <w:p w14:paraId="6439E9E1" w14:textId="316F0E0C" w:rsidR="00CC0E4F" w:rsidRDefault="00A37F28" w:rsidP="002D5106">
      <w:pPr>
        <w:spacing w:line="240" w:lineRule="auto"/>
      </w:pPr>
      <w:r>
        <w:t xml:space="preserve">The </w:t>
      </w:r>
      <w:r w:rsidR="0054137F">
        <w:t>utilities</w:t>
      </w:r>
      <w:r>
        <w:t xml:space="preserve"> agree that </w:t>
      </w:r>
      <w:r w:rsidR="00A94F07">
        <w:t xml:space="preserve">data on </w:t>
      </w:r>
      <w:r>
        <w:t xml:space="preserve">DER </w:t>
      </w:r>
      <w:r w:rsidR="00A94F07">
        <w:t>generation</w:t>
      </w:r>
      <w:r>
        <w:t xml:space="preserve"> is essential to helping resolve the masked load challenge.  However, this data will not resolve the masked load challenge by itself.  Although many DERs have monitoring equipment, this equipment only monitors DER generation output, not load.</w:t>
      </w:r>
      <w:r w:rsidR="00BD66A8">
        <w:rPr>
          <w:rStyle w:val="FootnoteReference"/>
        </w:rPr>
        <w:footnoteReference w:id="7"/>
      </w:r>
      <w:r>
        <w:t xml:space="preserve"> </w:t>
      </w:r>
      <w:r w:rsidR="00A940FF">
        <w:t xml:space="preserve"> </w:t>
      </w:r>
      <w:r>
        <w:t>To monitor load, the DERs would require an additional monitor located at the customer meter.</w:t>
      </w:r>
      <w:r w:rsidR="00CC0E4F">
        <w:t xml:space="preserve"> </w:t>
      </w:r>
      <w:r w:rsidR="00A940FF">
        <w:t xml:space="preserve"> </w:t>
      </w:r>
      <w:r w:rsidR="00CC0E4F">
        <w:t xml:space="preserve">But </w:t>
      </w:r>
      <w:r w:rsidR="0054137F">
        <w:t>the DERs</w:t>
      </w:r>
      <w:r w:rsidR="00CC0E4F">
        <w:t xml:space="preserve"> simply do not have this instrumentation.  Moreover, e</w:t>
      </w:r>
      <w:r>
        <w:t xml:space="preserve">ven if the </w:t>
      </w:r>
      <w:r w:rsidR="00CC0E4F">
        <w:t>utilities</w:t>
      </w:r>
      <w:r>
        <w:t xml:space="preserve"> obtained the DER generation data in real-time, the</w:t>
      </w:r>
      <w:r w:rsidR="00CC0E4F">
        <w:t>y</w:t>
      </w:r>
      <w:r>
        <w:t xml:space="preserve"> would only be capable of aggregating the DER generation data to derive the gross load of the entire circuit.  This DER data</w:t>
      </w:r>
      <w:r w:rsidR="00FA3A5F">
        <w:t xml:space="preserve"> alone</w:t>
      </w:r>
      <w:r>
        <w:t xml:space="preserve"> would not, however, allow </w:t>
      </w:r>
      <w:r w:rsidR="00CC0E4F">
        <w:t>utilities</w:t>
      </w:r>
      <w:r>
        <w:t xml:space="preserve"> to calculate gross load by circuit segment.</w:t>
      </w:r>
    </w:p>
    <w:p w14:paraId="385267A2" w14:textId="415B564E" w:rsidR="00FA3A5F" w:rsidRDefault="00543B0F" w:rsidP="002D5106">
      <w:pPr>
        <w:spacing w:line="240" w:lineRule="auto"/>
      </w:pPr>
      <w:r>
        <w:t xml:space="preserve">Determining gross load by circuit segment </w:t>
      </w:r>
      <w:r w:rsidR="00A37F28">
        <w:t>requires line sensors to provide real</w:t>
      </w:r>
      <w:r>
        <w:t>-</w:t>
      </w:r>
      <w:r w:rsidR="00A37F28">
        <w:t>time data on those specific circuit segments.</w:t>
      </w:r>
      <w:r w:rsidR="000C6772">
        <w:t xml:space="preserve"> C</w:t>
      </w:r>
      <w:r w:rsidR="000C6772" w:rsidRPr="000C6772">
        <w:t>ircuit segments are sections of a circuit divided by circuit ties, which allow load from one circuit segment to be transferred to an adjacent circuit</w:t>
      </w:r>
      <w:r w:rsidR="000C6772">
        <w:t>.</w:t>
      </w:r>
      <w:r w:rsidR="00A37F28">
        <w:t xml:space="preserve">  </w:t>
      </w:r>
      <w:r w:rsidR="008350FF">
        <w:t>When</w:t>
      </w:r>
      <w:r w:rsidR="00A37F28">
        <w:t xml:space="preserve"> </w:t>
      </w:r>
      <w:r w:rsidR="0054137F">
        <w:t>utilities</w:t>
      </w:r>
      <w:r w:rsidR="00A37F28">
        <w:t xml:space="preserve"> transfer load from individual circuit segments they need to know the magnitude of the gross load they are transferring—otherwise they risk overloading the adjacent circuit.  Therefore, although the </w:t>
      </w:r>
      <w:r w:rsidR="0054137F">
        <w:t xml:space="preserve">utilities </w:t>
      </w:r>
      <w:r w:rsidR="00A37F28">
        <w:t xml:space="preserve">appreciate the value of obtaining DER </w:t>
      </w:r>
      <w:r w:rsidR="0054137F">
        <w:t xml:space="preserve">generation </w:t>
      </w:r>
      <w:r w:rsidR="00A37F28">
        <w:t>data, whether from large DERs directly or through DER provider networks, this data needs to be combined with additional telemetry to accurately measure real-time gross load.</w:t>
      </w:r>
    </w:p>
    <w:p w14:paraId="7EFCD8B6" w14:textId="3ACAF7EE" w:rsidR="001E3A59" w:rsidRDefault="00D336CE" w:rsidP="00F267E4">
      <w:pPr>
        <w:pStyle w:val="Heading1"/>
      </w:pPr>
      <w:r>
        <w:t>Fault Identification</w:t>
      </w:r>
    </w:p>
    <w:p w14:paraId="4512B33B" w14:textId="6DF8A0BA" w:rsidR="00E459AC" w:rsidRDefault="00E459AC" w:rsidP="002D5106">
      <w:pPr>
        <w:spacing w:line="240" w:lineRule="auto"/>
        <w:contextualSpacing/>
      </w:pPr>
      <w:r>
        <w:t xml:space="preserve">SEIA also suggests that DERs are capable of identifying faults and helping to restore service more quickly. </w:t>
      </w:r>
      <w:r w:rsidR="003A728D">
        <w:t xml:space="preserve"> </w:t>
      </w:r>
      <w:r>
        <w:t>The implication</w:t>
      </w:r>
      <w:r w:rsidR="00461098">
        <w:t xml:space="preserve"> from SEIA</w:t>
      </w:r>
      <w:r>
        <w:t xml:space="preserve"> again is that this DER capability obviates the need for utility assets that perform the s</w:t>
      </w:r>
      <w:r w:rsidR="005612AF">
        <w:t xml:space="preserve">ame function. </w:t>
      </w:r>
      <w:r w:rsidR="003A728D">
        <w:t xml:space="preserve"> </w:t>
      </w:r>
      <w:r w:rsidR="005612AF">
        <w:t>SEIA suggests that using DERs for these functions would</w:t>
      </w:r>
      <w:r w:rsidR="00953500">
        <w:t xml:space="preserve"> “</w:t>
      </w:r>
      <w:r w:rsidR="00A33255">
        <w:t>i</w:t>
      </w:r>
      <w:r w:rsidR="00953500">
        <w:t xml:space="preserve">dentify faults </w:t>
      </w:r>
      <w:r w:rsidR="00953500">
        <w:lastRenderedPageBreak/>
        <w:t>for faster service restoration”</w:t>
      </w:r>
      <w:r w:rsidR="00953500">
        <w:rPr>
          <w:rStyle w:val="FootnoteReference"/>
        </w:rPr>
        <w:footnoteReference w:id="8"/>
      </w:r>
      <w:r w:rsidR="00953500">
        <w:t xml:space="preserve"> and</w:t>
      </w:r>
      <w:r w:rsidR="005612AF">
        <w:t xml:space="preserve"> reduce “truck rolls from better fault location” information, and result in “avoided cost of line sensors.”</w:t>
      </w:r>
      <w:r w:rsidR="005612AF">
        <w:rPr>
          <w:rStyle w:val="FootnoteReference"/>
        </w:rPr>
        <w:footnoteReference w:id="9"/>
      </w:r>
      <w:r w:rsidR="002760A1">
        <w:t xml:space="preserve"> </w:t>
      </w:r>
      <w:r w:rsidR="003A728D">
        <w:t xml:space="preserve"> </w:t>
      </w:r>
      <w:r w:rsidR="002760A1">
        <w:t xml:space="preserve">There are a number of issues with SEIA’s portrayal of this DER benefit. </w:t>
      </w:r>
    </w:p>
    <w:p w14:paraId="7972B4AC" w14:textId="5DA04137" w:rsidR="002760A1" w:rsidRDefault="002760A1" w:rsidP="004B31BA">
      <w:pPr>
        <w:pStyle w:val="ListParagraph"/>
        <w:numPr>
          <w:ilvl w:val="0"/>
          <w:numId w:val="4"/>
        </w:numPr>
        <w:spacing w:before="60" w:after="60" w:line="240" w:lineRule="auto"/>
        <w:contextualSpacing w:val="0"/>
      </w:pPr>
      <w:r w:rsidRPr="001606D9">
        <w:rPr>
          <w:b/>
        </w:rPr>
        <w:t>Fault Location Identification</w:t>
      </w:r>
      <w:r>
        <w:t xml:space="preserve"> –</w:t>
      </w:r>
      <w:r w:rsidR="00655391">
        <w:t xml:space="preserve"> </w:t>
      </w:r>
      <w:r>
        <w:t>DERs are undoubtedly capable of signaling when there is a power outage (by detecting loss of voltage).</w:t>
      </w:r>
      <w:r w:rsidR="003A728D">
        <w:t xml:space="preserve"> </w:t>
      </w:r>
      <w:r>
        <w:t xml:space="preserve"> However, identifying a</w:t>
      </w:r>
      <w:r w:rsidR="00D723A6">
        <w:t xml:space="preserve"> customer experiencing a</w:t>
      </w:r>
      <w:r>
        <w:t xml:space="preserve"> power outage is not equivalent to identifying a fault location. </w:t>
      </w:r>
      <w:r w:rsidR="003A728D">
        <w:t xml:space="preserve"> </w:t>
      </w:r>
      <w:r>
        <w:t xml:space="preserve">Whereas DERs </w:t>
      </w:r>
      <w:r w:rsidR="00655391">
        <w:t xml:space="preserve">may be able to </w:t>
      </w:r>
      <w:r>
        <w:t xml:space="preserve">help determine the </w:t>
      </w:r>
      <w:r w:rsidR="002A141C">
        <w:t>number</w:t>
      </w:r>
      <w:r w:rsidR="0010432E">
        <w:t xml:space="preserve"> </w:t>
      </w:r>
      <w:r>
        <w:t>of</w:t>
      </w:r>
      <w:r w:rsidR="0010432E">
        <w:t xml:space="preserve"> customers experiencing</w:t>
      </w:r>
      <w:r>
        <w:t xml:space="preserve"> an outage</w:t>
      </w:r>
      <w:r w:rsidR="0010432E">
        <w:t xml:space="preserve"> due to fault</w:t>
      </w:r>
      <w:r w:rsidR="004B31BA">
        <w:t>—which</w:t>
      </w:r>
      <w:r>
        <w:t xml:space="preserve"> the </w:t>
      </w:r>
      <w:r w:rsidR="00A33255">
        <w:t>utilitie</w:t>
      </w:r>
      <w:r>
        <w:t xml:space="preserve">s’ AMI systems </w:t>
      </w:r>
      <w:r w:rsidR="004B31BA">
        <w:t xml:space="preserve">already do </w:t>
      </w:r>
      <w:r>
        <w:t>today</w:t>
      </w:r>
      <w:r w:rsidR="004B31BA">
        <w:t>—</w:t>
      </w:r>
      <w:r w:rsidR="0010432E">
        <w:t xml:space="preserve">remote </w:t>
      </w:r>
      <w:r>
        <w:t>fault indicators</w:t>
      </w:r>
      <w:r w:rsidR="006A7B39">
        <w:t xml:space="preserve"> installed on the </w:t>
      </w:r>
      <w:r w:rsidR="00DE1F00">
        <w:t xml:space="preserve">primary </w:t>
      </w:r>
      <w:r w:rsidR="006A7B39">
        <w:t>distribution system</w:t>
      </w:r>
      <w:r>
        <w:t xml:space="preserve"> are capable of detecting the </w:t>
      </w:r>
      <w:r w:rsidR="00054588">
        <w:t>specific</w:t>
      </w:r>
      <w:r>
        <w:t xml:space="preserve"> line segment experienc</w:t>
      </w:r>
      <w:r w:rsidR="004B31BA">
        <w:t>ing</w:t>
      </w:r>
      <w:r>
        <w:t xml:space="preserve"> the fault.</w:t>
      </w:r>
      <w:r w:rsidR="0010432E">
        <w:t xml:space="preserve"> </w:t>
      </w:r>
      <w:r w:rsidR="003A728D">
        <w:t xml:space="preserve"> </w:t>
      </w:r>
      <w:r w:rsidR="0010432E">
        <w:t xml:space="preserve">Line sensors need to be located on the </w:t>
      </w:r>
      <w:r w:rsidR="00DE1F00">
        <w:t xml:space="preserve">primary </w:t>
      </w:r>
      <w:r w:rsidR="0010432E">
        <w:t>distribution system</w:t>
      </w:r>
      <w:r w:rsidR="00BC181C">
        <w:rPr>
          <w:rStyle w:val="FootnoteReference"/>
        </w:rPr>
        <w:footnoteReference w:id="10"/>
      </w:r>
      <w:r w:rsidR="0010432E">
        <w:t xml:space="preserve"> in order to help locate where the fault actually occurred on the system. </w:t>
      </w:r>
      <w:r w:rsidR="003A728D">
        <w:t xml:space="preserve"> </w:t>
      </w:r>
      <w:r w:rsidR="0010432E">
        <w:t>Behind the meter information is unab</w:t>
      </w:r>
      <w:r w:rsidR="0053389A">
        <w:t xml:space="preserve">le to provide this same </w:t>
      </w:r>
      <w:r w:rsidR="004B31BA">
        <w:t>capability since</w:t>
      </w:r>
      <w:r w:rsidR="0053389A">
        <w:t xml:space="preserve"> they </w:t>
      </w:r>
      <w:r w:rsidR="004B31BA">
        <w:t>cannot</w:t>
      </w:r>
      <w:r w:rsidR="0053389A">
        <w:t xml:space="preserve"> monitor real-time information on the </w:t>
      </w:r>
      <w:r w:rsidR="00DE1F00">
        <w:t xml:space="preserve">primary </w:t>
      </w:r>
      <w:r w:rsidR="0053389A">
        <w:t>distribution</w:t>
      </w:r>
      <w:r w:rsidR="00DE1F00">
        <w:t xml:space="preserve"> </w:t>
      </w:r>
      <w:r w:rsidR="0053389A">
        <w:t>system</w:t>
      </w:r>
      <w:r w:rsidR="00847276">
        <w:t xml:space="preserve"> and provide the location of a fault</w:t>
      </w:r>
      <w:r w:rsidR="0053389A">
        <w:t>.</w:t>
      </w:r>
      <w:r w:rsidR="004B31BA">
        <w:t xml:space="preserve"> </w:t>
      </w:r>
    </w:p>
    <w:p w14:paraId="408A2D4F" w14:textId="4CE06B02" w:rsidR="00655391" w:rsidRPr="00655391" w:rsidRDefault="00655391" w:rsidP="004B31BA">
      <w:pPr>
        <w:pStyle w:val="ListParagraph"/>
        <w:numPr>
          <w:ilvl w:val="0"/>
          <w:numId w:val="4"/>
        </w:numPr>
        <w:spacing w:before="60" w:after="60" w:line="240" w:lineRule="auto"/>
        <w:contextualSpacing w:val="0"/>
      </w:pPr>
      <w:r w:rsidRPr="001606D9">
        <w:rPr>
          <w:b/>
        </w:rPr>
        <w:t>Instrument Location and Density</w:t>
      </w:r>
      <w:r>
        <w:t xml:space="preserve"> – </w:t>
      </w:r>
      <w:r w:rsidR="00847276">
        <w:t xml:space="preserve">Increasing </w:t>
      </w:r>
      <w:r w:rsidR="004B31BA">
        <w:t xml:space="preserve">the </w:t>
      </w:r>
      <w:r w:rsidR="00847276">
        <w:t xml:space="preserve">efficiency of locating a specific fault location </w:t>
      </w:r>
      <w:r w:rsidR="003039C7">
        <w:t>involve</w:t>
      </w:r>
      <w:r w:rsidR="00847276">
        <w:t>s</w:t>
      </w:r>
      <w:r w:rsidR="003039C7">
        <w:t xml:space="preserve"> </w:t>
      </w:r>
      <w:r w:rsidR="00DA63FE">
        <w:t xml:space="preserve">installing </w:t>
      </w:r>
      <w:r w:rsidR="003039C7">
        <w:t>line sensors at key points within each circuit segment such that there is adequate coverage of all load served by the circuit.</w:t>
      </w:r>
      <w:r w:rsidR="003A728D">
        <w:t xml:space="preserve"> </w:t>
      </w:r>
      <w:r w:rsidR="00394729">
        <w:t xml:space="preserve"> These </w:t>
      </w:r>
      <w:r w:rsidR="00DA63FE">
        <w:t xml:space="preserve">sensors </w:t>
      </w:r>
      <w:r w:rsidR="00394729">
        <w:t xml:space="preserve">are typically </w:t>
      </w:r>
      <w:r w:rsidR="00DA63FE">
        <w:t xml:space="preserve">installed </w:t>
      </w:r>
      <w:r w:rsidR="005104CC">
        <w:t xml:space="preserve">on </w:t>
      </w:r>
      <w:r w:rsidR="00E11A10">
        <w:t>primary</w:t>
      </w:r>
      <w:r w:rsidR="005104CC">
        <w:t xml:space="preserve"> distribution conductor</w:t>
      </w:r>
      <w:r w:rsidR="00394729">
        <w:t>s.</w:t>
      </w:r>
      <w:r w:rsidR="00847276" w:rsidDel="00847276">
        <w:t xml:space="preserve"> </w:t>
      </w:r>
      <w:r w:rsidR="003A728D">
        <w:t xml:space="preserve"> </w:t>
      </w:r>
      <w:r w:rsidR="002E453F">
        <w:t>DERs are unable to provide this service as they do not monitor real</w:t>
      </w:r>
      <w:r w:rsidR="00DA63FE">
        <w:t>-</w:t>
      </w:r>
      <w:r w:rsidR="002E453F">
        <w:t>time load flow on primary distribution equipment.</w:t>
      </w:r>
      <w:r w:rsidR="00394729">
        <w:t xml:space="preserve"> </w:t>
      </w:r>
    </w:p>
    <w:p w14:paraId="0FF90F3C" w14:textId="591A5EA6" w:rsidR="00655391" w:rsidRDefault="000400A5" w:rsidP="004B31BA">
      <w:pPr>
        <w:pStyle w:val="ListParagraph"/>
        <w:numPr>
          <w:ilvl w:val="0"/>
          <w:numId w:val="4"/>
        </w:numPr>
        <w:spacing w:before="60" w:after="60" w:line="240" w:lineRule="auto"/>
        <w:contextualSpacing w:val="0"/>
      </w:pPr>
      <w:r w:rsidRPr="001606D9">
        <w:rPr>
          <w:b/>
        </w:rPr>
        <w:t>Instant</w:t>
      </w:r>
      <w:r w:rsidR="002760A1" w:rsidRPr="001606D9">
        <w:rPr>
          <w:b/>
        </w:rPr>
        <w:t xml:space="preserve"> Notification</w:t>
      </w:r>
      <w:r w:rsidR="002760A1">
        <w:t xml:space="preserve"> –</w:t>
      </w:r>
      <w:r w:rsidR="003A728D">
        <w:t xml:space="preserve"> </w:t>
      </w:r>
      <w:r w:rsidR="002E453F">
        <w:t>R</w:t>
      </w:r>
      <w:r w:rsidR="002007A2">
        <w:t xml:space="preserve">emote </w:t>
      </w:r>
      <w:r w:rsidR="002760A1">
        <w:t>fault indicators automatically send a signal to the grid</w:t>
      </w:r>
      <w:r>
        <w:t xml:space="preserve"> operator notifying them of the</w:t>
      </w:r>
      <w:r w:rsidR="00E356D0">
        <w:t xml:space="preserve"> </w:t>
      </w:r>
      <w:r w:rsidR="00DA63FE">
        <w:t xml:space="preserve">faulted </w:t>
      </w:r>
      <w:r w:rsidR="004727DD">
        <w:t xml:space="preserve">circuit </w:t>
      </w:r>
      <w:r w:rsidR="00E356D0">
        <w:t>segment</w:t>
      </w:r>
      <w:r>
        <w:t xml:space="preserve"> within seconds of the event. </w:t>
      </w:r>
      <w:r w:rsidR="003A728D">
        <w:t xml:space="preserve"> </w:t>
      </w:r>
      <w:r>
        <w:t>This prompts the grid operator to</w:t>
      </w:r>
      <w:r w:rsidR="005104CC">
        <w:t xml:space="preserve"> utilize automated switching</w:t>
      </w:r>
      <w:r w:rsidR="00B854E6">
        <w:t>,</w:t>
      </w:r>
      <w:r w:rsidR="005104CC">
        <w:t xml:space="preserve"> wh</w:t>
      </w:r>
      <w:r w:rsidR="00E356D0">
        <w:t>ere</w:t>
      </w:r>
      <w:r w:rsidR="005104CC">
        <w:t xml:space="preserve"> available,</w:t>
      </w:r>
      <w:r>
        <w:t xml:space="preserve"> </w:t>
      </w:r>
      <w:r w:rsidR="00B854E6">
        <w:t xml:space="preserve">and </w:t>
      </w:r>
      <w:r>
        <w:t>then dispatch a field worker to investigate.</w:t>
      </w:r>
      <w:r w:rsidR="00655391">
        <w:t xml:space="preserve"> </w:t>
      </w:r>
      <w:r w:rsidR="00DA63FE">
        <w:t xml:space="preserve"> </w:t>
      </w:r>
      <w:r w:rsidR="004727DD">
        <w:t>In addition to being unable to identify the circuit segment on which the fault occurred,</w:t>
      </w:r>
      <w:r w:rsidR="003A728D">
        <w:t xml:space="preserve"> </w:t>
      </w:r>
      <w:r w:rsidR="003500D6">
        <w:t xml:space="preserve">any </w:t>
      </w:r>
      <w:r w:rsidR="00655391">
        <w:t xml:space="preserve">latency in communication between the DER provider network and the grid control center means that relying on DER data for outage notification </w:t>
      </w:r>
      <w:r w:rsidR="004B31BA">
        <w:t>c</w:t>
      </w:r>
      <w:r w:rsidR="00655391">
        <w:t xml:space="preserve">ould take longer than the </w:t>
      </w:r>
      <w:r w:rsidR="004B31BA">
        <w:t>utilities</w:t>
      </w:r>
      <w:r w:rsidR="00655391">
        <w:t>’ existing AMI systems</w:t>
      </w:r>
      <w:r w:rsidR="004727DD">
        <w:t xml:space="preserve"> and remote fault indicators</w:t>
      </w:r>
      <w:r w:rsidR="00B854E6">
        <w:t>,</w:t>
      </w:r>
      <w:r w:rsidR="004727DD">
        <w:t xml:space="preserve"> </w:t>
      </w:r>
      <w:r w:rsidR="00B854E6">
        <w:t>increasing customer</w:t>
      </w:r>
      <w:r w:rsidR="004727DD">
        <w:t xml:space="preserve"> outage times</w:t>
      </w:r>
      <w:r w:rsidR="00655391">
        <w:t>.</w:t>
      </w:r>
    </w:p>
    <w:p w14:paraId="6DFB7EC3" w14:textId="2A76DAB7" w:rsidR="00027BC5" w:rsidRDefault="00655391" w:rsidP="004B31BA">
      <w:pPr>
        <w:pStyle w:val="ListParagraph"/>
        <w:numPr>
          <w:ilvl w:val="0"/>
          <w:numId w:val="4"/>
        </w:numPr>
        <w:spacing w:before="60" w:after="60" w:line="240" w:lineRule="auto"/>
        <w:contextualSpacing w:val="0"/>
      </w:pPr>
      <w:r w:rsidRPr="001606D9">
        <w:rPr>
          <w:b/>
        </w:rPr>
        <w:t>Fault Interruption</w:t>
      </w:r>
      <w:r w:rsidRPr="00655391">
        <w:t xml:space="preserve"> </w:t>
      </w:r>
      <w:r>
        <w:t>– When smart switching devices</w:t>
      </w:r>
      <w:r w:rsidR="00B854E6">
        <w:t xml:space="preserve"> (</w:t>
      </w:r>
      <w:r w:rsidR="0083312A">
        <w:t>such</w:t>
      </w:r>
      <w:r w:rsidR="00663A93">
        <w:t xml:space="preserve"> </w:t>
      </w:r>
      <w:r w:rsidR="0083312A">
        <w:t xml:space="preserve">as </w:t>
      </w:r>
      <w:r w:rsidR="00B854E6">
        <w:t>remote intelligence switches)</w:t>
      </w:r>
      <w:r w:rsidR="0083312A">
        <w:t>,</w:t>
      </w:r>
      <w:r>
        <w:t xml:space="preserve"> </w:t>
      </w:r>
      <w:r w:rsidR="00B854E6">
        <w:t xml:space="preserve">detect an outage, </w:t>
      </w:r>
      <w:r>
        <w:t>they can execute switching schemes automatically and in some instances avoid the outage altogether for a subset of customers</w:t>
      </w:r>
      <w:r w:rsidR="005104CC">
        <w:t xml:space="preserve"> by using fault interrupting equipment</w:t>
      </w:r>
      <w:r>
        <w:t>.</w:t>
      </w:r>
      <w:r w:rsidR="003A728D">
        <w:t xml:space="preserve"> </w:t>
      </w:r>
      <w:r w:rsidR="00066F4B">
        <w:t xml:space="preserve"> </w:t>
      </w:r>
      <w:r w:rsidR="003A728D">
        <w:t xml:space="preserve"> </w:t>
      </w:r>
      <w:r w:rsidR="00066F4B">
        <w:t>DERs, however, do not have this added feature.</w:t>
      </w:r>
    </w:p>
    <w:p w14:paraId="35C377A5" w14:textId="65B4D689" w:rsidR="00D336CE" w:rsidRPr="002D5106" w:rsidRDefault="00D336CE" w:rsidP="00D336CE">
      <w:pPr>
        <w:pStyle w:val="Heading1"/>
      </w:pPr>
      <w:r>
        <w:t>Power Quality</w:t>
      </w:r>
    </w:p>
    <w:p w14:paraId="61E60E1B" w14:textId="633DF166" w:rsidR="00D336CE" w:rsidRDefault="003F44DF" w:rsidP="00D336CE">
      <w:pPr>
        <w:spacing w:line="240" w:lineRule="auto"/>
      </w:pPr>
      <w:r>
        <w:t>SEIA states that one of the benefits of utilities’ using DER data is that it can “provide nodal level data on power quality conditions.”</w:t>
      </w:r>
      <w:r>
        <w:rPr>
          <w:rStyle w:val="FootnoteReference"/>
        </w:rPr>
        <w:footnoteReference w:id="11"/>
      </w:r>
      <w:r>
        <w:t xml:space="preserve">  </w:t>
      </w:r>
      <w:r w:rsidR="008C336C">
        <w:t xml:space="preserve">SEIA is </w:t>
      </w:r>
      <w:r w:rsidR="00B854E6">
        <w:t>referring solely to voltage—</w:t>
      </w:r>
      <w:r w:rsidR="008C336C">
        <w:t xml:space="preserve">not the many other </w:t>
      </w:r>
      <w:r w:rsidR="00B854E6">
        <w:t xml:space="preserve">measures </w:t>
      </w:r>
      <w:r w:rsidR="008C336C">
        <w:t>associated with power quality</w:t>
      </w:r>
      <w:r w:rsidR="00B854E6">
        <w:t>, such as total harmonic distortion</w:t>
      </w:r>
      <w:r w:rsidR="008C336C">
        <w:t xml:space="preserve">. </w:t>
      </w:r>
      <w:r w:rsidR="00B854E6">
        <w:t xml:space="preserve"> </w:t>
      </w:r>
      <w:r w:rsidR="001436D5">
        <w:t>DERs can provide voltage</w:t>
      </w:r>
      <w:r w:rsidR="0083312A">
        <w:t xml:space="preserve"> data</w:t>
      </w:r>
      <w:r w:rsidR="001436D5">
        <w:t xml:space="preserve"> at their respective locations on the secondary distribution system, but not at the primary distribution system</w:t>
      </w:r>
      <w:r w:rsidR="00934394">
        <w:t xml:space="preserve"> (the nodal level)</w:t>
      </w:r>
      <w:r w:rsidR="001436D5">
        <w:t xml:space="preserve">.  </w:t>
      </w:r>
      <w:r w:rsidR="00934394">
        <w:t xml:space="preserve">Moreover, </w:t>
      </w:r>
      <w:r w:rsidR="00022BB0">
        <w:t>the same</w:t>
      </w:r>
      <w:r w:rsidR="00934394">
        <w:t xml:space="preserve"> </w:t>
      </w:r>
      <w:r w:rsidR="0083312A">
        <w:t>voltage</w:t>
      </w:r>
      <w:r w:rsidR="001436D5">
        <w:t xml:space="preserve"> information</w:t>
      </w:r>
      <w:r w:rsidR="00E21E3F">
        <w:t xml:space="preserve"> provided by behind the meter DERs</w:t>
      </w:r>
      <w:r w:rsidR="001436D5">
        <w:t xml:space="preserve"> can be provided today by the utilities’ AMI systems.  Although the AMI system</w:t>
      </w:r>
      <w:r w:rsidR="00B854E6">
        <w:t>s</w:t>
      </w:r>
      <w:r w:rsidR="001436D5">
        <w:t xml:space="preserve"> generally only provide this </w:t>
      </w:r>
      <w:r w:rsidR="001436D5">
        <w:lastRenderedPageBreak/>
        <w:t xml:space="preserve">information once per day, </w:t>
      </w:r>
      <w:r w:rsidR="008350FF">
        <w:t>the reporting frequency can be increased when and where necessary</w:t>
      </w:r>
      <w:r w:rsidR="001436D5">
        <w:t>.</w:t>
      </w:r>
      <w:r w:rsidR="00B854E6">
        <w:t xml:space="preserve"> </w:t>
      </w:r>
      <w:r w:rsidR="00934394">
        <w:t xml:space="preserve"> It is unclear what incremental value would be provided by having this DER information.</w:t>
      </w:r>
    </w:p>
    <w:p w14:paraId="551A996D" w14:textId="57F1A2E8" w:rsidR="00D336CE" w:rsidRPr="002D5106" w:rsidRDefault="00D336CE" w:rsidP="00D336CE">
      <w:pPr>
        <w:pStyle w:val="Heading1"/>
      </w:pPr>
      <w:r>
        <w:t>Reporting Frequency</w:t>
      </w:r>
    </w:p>
    <w:p w14:paraId="26A74F69" w14:textId="779211C0" w:rsidR="00AF0FB3" w:rsidRDefault="00934394" w:rsidP="001436D5">
      <w:pPr>
        <w:spacing w:line="240" w:lineRule="auto"/>
      </w:pPr>
      <w:r>
        <w:t>Finally, SEIA argues that DERs c</w:t>
      </w:r>
      <w:r w:rsidR="004D62A4">
        <w:t>ould</w:t>
      </w:r>
      <w:r>
        <w:t xml:space="preserve"> “provide data at greater frequency than may be available through utility communications infrastructure.”</w:t>
      </w:r>
      <w:r>
        <w:rPr>
          <w:rStyle w:val="FootnoteReference"/>
        </w:rPr>
        <w:footnoteReference w:id="12"/>
      </w:r>
      <w:r>
        <w:t xml:space="preserve"> </w:t>
      </w:r>
      <w:r w:rsidR="001436D5">
        <w:t xml:space="preserve">Although DERs may be capable of providing outage and voltage information more frequently than the utilities’ AMI systems, this is unnecessary.  </w:t>
      </w:r>
      <w:r w:rsidR="00AF0FB3">
        <w:t>First, the outage information would be duplicative with the information provided by the utilities’ AMI systems.</w:t>
      </w:r>
      <w:r w:rsidR="004B1CFC">
        <w:t xml:space="preserve"> </w:t>
      </w:r>
      <w:r w:rsidR="00AF0FB3">
        <w:t xml:space="preserve"> Moreover, this information </w:t>
      </w:r>
      <w:r w:rsidR="004D62A4">
        <w:t>would be</w:t>
      </w:r>
      <w:r w:rsidR="00AF0FB3">
        <w:t xml:space="preserve"> insufficient for identifying a fault location, as discussed above. Remote fault indicators, on the other hand, provide more precise fault location information. </w:t>
      </w:r>
      <w:r w:rsidR="004B1CFC">
        <w:t xml:space="preserve"> </w:t>
      </w:r>
      <w:r w:rsidR="00AF0FB3">
        <w:t>Therefore, any increase in reporting frequency</w:t>
      </w:r>
      <w:r w:rsidR="0083312A">
        <w:t xml:space="preserve"> of outage and voltage information</w:t>
      </w:r>
      <w:r w:rsidR="00AF0FB3">
        <w:t xml:space="preserve"> would provide no incremental benefit beyond what is providing by existing utility infrastructure, and it would be inferior to the information provided by remote fault indicators. </w:t>
      </w:r>
    </w:p>
    <w:p w14:paraId="60CA3AF9" w14:textId="6C24FADC" w:rsidR="002760A1" w:rsidRPr="00E459AC" w:rsidRDefault="00AF3AEF" w:rsidP="001436D5">
      <w:pPr>
        <w:spacing w:line="240" w:lineRule="auto"/>
      </w:pPr>
      <w:r>
        <w:t xml:space="preserve">The </w:t>
      </w:r>
      <w:r w:rsidR="001436D5">
        <w:t xml:space="preserve">utilities </w:t>
      </w:r>
      <w:r>
        <w:t xml:space="preserve">welcome opportunities to leverage DER capabilities to improve grid operator situational awareness. </w:t>
      </w:r>
      <w:r w:rsidR="003A728D">
        <w:t xml:space="preserve"> </w:t>
      </w:r>
      <w:r>
        <w:t xml:space="preserve">DERs can provide information that will support grid flexibility and improve grid operator visibility of power flows. </w:t>
      </w:r>
      <w:r w:rsidR="003A728D">
        <w:t xml:space="preserve"> </w:t>
      </w:r>
      <w:r>
        <w:t>H</w:t>
      </w:r>
      <w:r w:rsidR="005104CC">
        <w:t xml:space="preserve">owever, </w:t>
      </w:r>
      <w:r>
        <w:t xml:space="preserve">while DER data is helpful, it alone cannot resolve the growing situational awareness challenges the </w:t>
      </w:r>
      <w:r w:rsidR="001436D5">
        <w:t>utilities</w:t>
      </w:r>
      <w:r>
        <w:t xml:space="preserve"> face. </w:t>
      </w:r>
      <w:r w:rsidR="003A728D">
        <w:t xml:space="preserve"> </w:t>
      </w:r>
      <w:r>
        <w:t>This d</w:t>
      </w:r>
      <w:r w:rsidR="005104CC">
        <w:t>ata must be paired with other</w:t>
      </w:r>
      <w:r>
        <w:t xml:space="preserve"> </w:t>
      </w:r>
      <w:r w:rsidR="00027BC5">
        <w:t>information obtained directly from the distribution system</w:t>
      </w:r>
      <w:r>
        <w:t xml:space="preserve">. </w:t>
      </w:r>
      <w:r w:rsidR="003A728D">
        <w:t xml:space="preserve"> </w:t>
      </w:r>
      <w:r>
        <w:t>Both are essential</w:t>
      </w:r>
      <w:r w:rsidR="00027BC5">
        <w:t xml:space="preserve"> </w:t>
      </w:r>
      <w:r>
        <w:t>to</w:t>
      </w:r>
      <w:r w:rsidR="00027BC5">
        <w:t xml:space="preserve"> meet</w:t>
      </w:r>
      <w:r>
        <w:t>ing</w:t>
      </w:r>
      <w:r w:rsidR="00027BC5">
        <w:t xml:space="preserve"> </w:t>
      </w:r>
      <w:r>
        <w:t xml:space="preserve">the </w:t>
      </w:r>
      <w:r w:rsidR="001436D5">
        <w:t>utilities</w:t>
      </w:r>
      <w:r>
        <w:t>’</w:t>
      </w:r>
      <w:r w:rsidR="00027BC5">
        <w:t xml:space="preserve"> </w:t>
      </w:r>
      <w:r w:rsidR="00D3478B">
        <w:t>situational awareness needs for operating the grid safely and reliably</w:t>
      </w:r>
      <w:r w:rsidR="00027BC5">
        <w:t>.</w:t>
      </w:r>
    </w:p>
    <w:p w14:paraId="64DD1F17" w14:textId="77777777" w:rsidR="001436D5" w:rsidRPr="00E459AC" w:rsidRDefault="001436D5">
      <w:pPr>
        <w:spacing w:before="120" w:after="120" w:line="240" w:lineRule="auto"/>
      </w:pPr>
    </w:p>
    <w:sectPr w:rsidR="001436D5" w:rsidRPr="00E459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FE239C" w14:textId="77777777" w:rsidR="00A93459" w:rsidRDefault="00A93459" w:rsidP="00710BA3">
      <w:pPr>
        <w:spacing w:after="0" w:line="240" w:lineRule="auto"/>
      </w:pPr>
      <w:r>
        <w:separator/>
      </w:r>
    </w:p>
  </w:endnote>
  <w:endnote w:type="continuationSeparator" w:id="0">
    <w:p w14:paraId="542C216D" w14:textId="77777777" w:rsidR="00A93459" w:rsidRDefault="00A93459" w:rsidP="00710BA3">
      <w:pPr>
        <w:spacing w:after="0" w:line="240" w:lineRule="auto"/>
      </w:pPr>
      <w:r>
        <w:continuationSeparator/>
      </w:r>
    </w:p>
  </w:endnote>
  <w:endnote w:type="continuationNotice" w:id="1">
    <w:p w14:paraId="13727956" w14:textId="77777777" w:rsidR="00A93459" w:rsidRDefault="00A934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23D0DD" w14:textId="77777777" w:rsidR="00A93459" w:rsidRDefault="00A93459" w:rsidP="00710BA3">
      <w:pPr>
        <w:spacing w:after="0" w:line="240" w:lineRule="auto"/>
      </w:pPr>
      <w:r>
        <w:separator/>
      </w:r>
    </w:p>
  </w:footnote>
  <w:footnote w:type="continuationSeparator" w:id="0">
    <w:p w14:paraId="4BB98E09" w14:textId="77777777" w:rsidR="00A93459" w:rsidRDefault="00A93459" w:rsidP="00710BA3">
      <w:pPr>
        <w:spacing w:after="0" w:line="240" w:lineRule="auto"/>
      </w:pPr>
      <w:r>
        <w:continuationSeparator/>
      </w:r>
    </w:p>
  </w:footnote>
  <w:footnote w:type="continuationNotice" w:id="1">
    <w:p w14:paraId="6E524B5B" w14:textId="77777777" w:rsidR="00A93459" w:rsidRDefault="00A93459">
      <w:pPr>
        <w:spacing w:after="0" w:line="240" w:lineRule="auto"/>
      </w:pPr>
    </w:p>
  </w:footnote>
  <w:footnote w:id="2">
    <w:p w14:paraId="41D02E8F" w14:textId="60AE22C0" w:rsidR="00A93459" w:rsidRDefault="00A93459" w:rsidP="00036208">
      <w:pPr>
        <w:pStyle w:val="FootnoteText"/>
      </w:pPr>
      <w:r>
        <w:rPr>
          <w:rStyle w:val="FootnoteReference"/>
        </w:rPr>
        <w:footnoteRef/>
      </w:r>
      <w:r>
        <w:t xml:space="preserve"> </w:t>
      </w:r>
      <w:r w:rsidRPr="00C159DA">
        <w:rPr>
          <w:i/>
        </w:rPr>
        <w:t>See</w:t>
      </w:r>
      <w:r>
        <w:t xml:space="preserve"> R.14-08-013, </w:t>
      </w:r>
      <w:r w:rsidRPr="00C159DA">
        <w:rPr>
          <w:i/>
        </w:rPr>
        <w:t>Assigned Commissioner’s Ruling Setting Scope And Schedule For Continued Long Term Refinement Discussions Pertaining To The Integration Capacity Analysis And Locational Net Benefits Analysis In Track One Of The Distribution Resources Plan Proceedings</w:t>
      </w:r>
      <w:r>
        <w:t xml:space="preserve">, page 13 (Item 13: </w:t>
      </w:r>
      <w:r w:rsidRPr="00036208">
        <w:t>Explore possible value of situational awareness or intelligence</w:t>
      </w:r>
      <w:r>
        <w:t xml:space="preserve">0 (June 7, 2017) and SEIA response entitled “Item 13: Data/Situational Awareness SEIA Initial Proposal,” submitted to the LNBA Working Group. </w:t>
      </w:r>
    </w:p>
  </w:footnote>
  <w:footnote w:id="3">
    <w:p w14:paraId="50B33958" w14:textId="1D832E7B" w:rsidR="00A93459" w:rsidRDefault="00A93459">
      <w:pPr>
        <w:pStyle w:val="FootnoteText"/>
      </w:pPr>
      <w:r>
        <w:rPr>
          <w:rStyle w:val="FootnoteReference"/>
        </w:rPr>
        <w:footnoteRef/>
      </w:r>
      <w:r>
        <w:t xml:space="preserve"> For example, PG&amp;E demonstrated that current AMI infrastructure can support real-time voltage reads where needed through its volt-VAR optimization (VVO) pilot.</w:t>
      </w:r>
    </w:p>
  </w:footnote>
  <w:footnote w:id="4">
    <w:p w14:paraId="7287307A" w14:textId="07371BA7" w:rsidR="00A93459" w:rsidRDefault="00A93459">
      <w:pPr>
        <w:pStyle w:val="FootnoteText"/>
      </w:pPr>
      <w:r>
        <w:rPr>
          <w:rStyle w:val="FootnoteReference"/>
        </w:rPr>
        <w:footnoteRef/>
      </w:r>
      <w:r>
        <w:t xml:space="preserve"> SEIA presentation “Locational Net Benefit Analysis: Situational Awareness,” Distribution Resources Planning Working Group, September 19, 2017, page 58</w:t>
      </w:r>
    </w:p>
  </w:footnote>
  <w:footnote w:id="5">
    <w:p w14:paraId="6D43B039" w14:textId="35484E96" w:rsidR="00A93459" w:rsidRDefault="00A93459" w:rsidP="00A37F28">
      <w:pPr>
        <w:pStyle w:val="FootnoteText"/>
      </w:pPr>
      <w:r>
        <w:rPr>
          <w:rStyle w:val="FootnoteReference"/>
        </w:rPr>
        <w:footnoteRef/>
      </w:r>
      <w:r>
        <w:t xml:space="preserve"> “Item 13: Data/Situational Awareness SEIA Initial Proposal,” page 1.</w:t>
      </w:r>
    </w:p>
  </w:footnote>
  <w:footnote w:id="6">
    <w:p w14:paraId="58CC6C4C" w14:textId="1BA33482" w:rsidR="00A93459" w:rsidRDefault="00A93459" w:rsidP="00A37F28">
      <w:pPr>
        <w:pStyle w:val="FootnoteText"/>
      </w:pPr>
      <w:r>
        <w:rPr>
          <w:rStyle w:val="FootnoteReference"/>
        </w:rPr>
        <w:footnoteRef/>
      </w:r>
      <w:r>
        <w:t xml:space="preserve"> “Item 13: Data/Situational Awareness SEIA Initial Proposal,” page 2.</w:t>
      </w:r>
    </w:p>
  </w:footnote>
  <w:footnote w:id="7">
    <w:p w14:paraId="36C3F228" w14:textId="1B13681D" w:rsidR="00A93459" w:rsidRDefault="00A93459">
      <w:pPr>
        <w:pStyle w:val="FootnoteText"/>
      </w:pPr>
      <w:r>
        <w:rPr>
          <w:rStyle w:val="FootnoteReference"/>
        </w:rPr>
        <w:footnoteRef/>
      </w:r>
      <w:r>
        <w:t xml:space="preserve"> On page 5 of “Item 13: Data/Situational Awareness SEIA Initial Proposal,” </w:t>
      </w:r>
      <w:r w:rsidRPr="00BD66A8">
        <w:t xml:space="preserve">SEIA </w:t>
      </w:r>
      <w:r>
        <w:t xml:space="preserve">suggests that </w:t>
      </w:r>
      <w:r w:rsidRPr="00BD66A8">
        <w:t>the utilities may be misinterpreting Rule 21.  The utilities are not opposed to using other options that are “less intrusive and/or more cost effective” for obtaining generation output data for larger DERs. However, DERs are currently only capable of providing DER generation information, not site load information.</w:t>
      </w:r>
    </w:p>
  </w:footnote>
  <w:footnote w:id="8">
    <w:p w14:paraId="0E0F64BB" w14:textId="42F15F37" w:rsidR="00A93459" w:rsidRDefault="00A93459">
      <w:pPr>
        <w:pStyle w:val="FootnoteText"/>
      </w:pPr>
      <w:r>
        <w:rPr>
          <w:rStyle w:val="FootnoteReference"/>
        </w:rPr>
        <w:footnoteRef/>
      </w:r>
      <w:r>
        <w:t xml:space="preserve"> “Item 13: Data/Situational Awareness SEIA Initial Proposal,” page 1.</w:t>
      </w:r>
    </w:p>
  </w:footnote>
  <w:footnote w:id="9">
    <w:p w14:paraId="391DA8CF" w14:textId="2E4A83D8" w:rsidR="00A93459" w:rsidRDefault="00A93459">
      <w:pPr>
        <w:pStyle w:val="FootnoteText"/>
      </w:pPr>
      <w:r>
        <w:rPr>
          <w:rStyle w:val="FootnoteReference"/>
        </w:rPr>
        <w:footnoteRef/>
      </w:r>
      <w:r>
        <w:t xml:space="preserve"> SEIA slide deck “Locational Net Benefit Analysis: Situational Awareness,” Distribution Resources Planning Working Group, September 19, 2017, page 63.</w:t>
      </w:r>
    </w:p>
  </w:footnote>
  <w:footnote w:id="10">
    <w:p w14:paraId="67F2B2CB" w14:textId="4AC094D2" w:rsidR="00A93459" w:rsidRDefault="00A93459">
      <w:pPr>
        <w:pStyle w:val="FootnoteText"/>
      </w:pPr>
      <w:r>
        <w:rPr>
          <w:rStyle w:val="FootnoteReference"/>
        </w:rPr>
        <w:footnoteRef/>
      </w:r>
      <w:r>
        <w:t xml:space="preserve"> Primary distribution system refers to equipment that operates above 600V. This is the portion of the distribution system that operates in in the range of thousands of volts and transfers power from the distribution substation to the service transformer. The service transformer then steps down the voltage from the thousands of volts to hundreds of volts (secondary system) to be used by customers. DERs are typically installed at customer locations connected to the secondary which is unable to provide any data on the primary distribution system.</w:t>
      </w:r>
    </w:p>
  </w:footnote>
  <w:footnote w:id="11">
    <w:p w14:paraId="494024B7" w14:textId="2EA4B334" w:rsidR="00A93459" w:rsidRDefault="00A93459">
      <w:pPr>
        <w:pStyle w:val="FootnoteText"/>
      </w:pPr>
      <w:r>
        <w:rPr>
          <w:rStyle w:val="FootnoteReference"/>
        </w:rPr>
        <w:footnoteRef/>
      </w:r>
      <w:r>
        <w:t xml:space="preserve"> “Item 13: Data/Situational Awareness SEIA Initial Proposal,” page 1.</w:t>
      </w:r>
    </w:p>
  </w:footnote>
  <w:footnote w:id="12">
    <w:p w14:paraId="1A1AC654" w14:textId="73EC31F4" w:rsidR="00A93459" w:rsidRDefault="00A93459">
      <w:pPr>
        <w:pStyle w:val="FootnoteText"/>
      </w:pPr>
      <w:r>
        <w:rPr>
          <w:rStyle w:val="FootnoteReference"/>
        </w:rPr>
        <w:footnoteRef/>
      </w:r>
      <w:r>
        <w:t xml:space="preserve"> “Item 13: Data/Situational Awareness SEIA Initial Proposal”, page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2D2132"/>
    <w:multiLevelType w:val="hybridMultilevel"/>
    <w:tmpl w:val="57966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C87BAE"/>
    <w:multiLevelType w:val="hybridMultilevel"/>
    <w:tmpl w:val="40B2765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36D835F1"/>
    <w:multiLevelType w:val="hybridMultilevel"/>
    <w:tmpl w:val="57966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B0767B"/>
    <w:multiLevelType w:val="hybridMultilevel"/>
    <w:tmpl w:val="4C0AAD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30A17B9"/>
    <w:multiLevelType w:val="hybridMultilevel"/>
    <w:tmpl w:val="8F5C5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1E0925"/>
    <w:multiLevelType w:val="hybridMultilevel"/>
    <w:tmpl w:val="1A1E7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FD6D88"/>
    <w:multiLevelType w:val="hybridMultilevel"/>
    <w:tmpl w:val="8766E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4"/>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B3B"/>
    <w:rsid w:val="0000244D"/>
    <w:rsid w:val="000121E1"/>
    <w:rsid w:val="00015653"/>
    <w:rsid w:val="00015C98"/>
    <w:rsid w:val="00022BB0"/>
    <w:rsid w:val="00023D86"/>
    <w:rsid w:val="00026759"/>
    <w:rsid w:val="00026FE2"/>
    <w:rsid w:val="00027BC5"/>
    <w:rsid w:val="00032793"/>
    <w:rsid w:val="00036208"/>
    <w:rsid w:val="000400A5"/>
    <w:rsid w:val="00052141"/>
    <w:rsid w:val="00054588"/>
    <w:rsid w:val="00061035"/>
    <w:rsid w:val="00066F4B"/>
    <w:rsid w:val="00091DFC"/>
    <w:rsid w:val="00094F25"/>
    <w:rsid w:val="000B5D77"/>
    <w:rsid w:val="000C1BDA"/>
    <w:rsid w:val="000C6772"/>
    <w:rsid w:val="000C73FC"/>
    <w:rsid w:val="000D3A61"/>
    <w:rsid w:val="000E2108"/>
    <w:rsid w:val="000F03D2"/>
    <w:rsid w:val="000F5777"/>
    <w:rsid w:val="0010034D"/>
    <w:rsid w:val="0010206F"/>
    <w:rsid w:val="0010432E"/>
    <w:rsid w:val="00107665"/>
    <w:rsid w:val="00112A4A"/>
    <w:rsid w:val="00116A53"/>
    <w:rsid w:val="001235CA"/>
    <w:rsid w:val="001436D5"/>
    <w:rsid w:val="00144BDC"/>
    <w:rsid w:val="00145751"/>
    <w:rsid w:val="00155484"/>
    <w:rsid w:val="001606D9"/>
    <w:rsid w:val="00160E12"/>
    <w:rsid w:val="00165892"/>
    <w:rsid w:val="0016599D"/>
    <w:rsid w:val="0016754C"/>
    <w:rsid w:val="00170B58"/>
    <w:rsid w:val="001757D6"/>
    <w:rsid w:val="00176D65"/>
    <w:rsid w:val="0018748B"/>
    <w:rsid w:val="00196C43"/>
    <w:rsid w:val="001B2CDE"/>
    <w:rsid w:val="001B7882"/>
    <w:rsid w:val="001D26B2"/>
    <w:rsid w:val="001D4B54"/>
    <w:rsid w:val="001E3A59"/>
    <w:rsid w:val="002007A2"/>
    <w:rsid w:val="00203D60"/>
    <w:rsid w:val="00240022"/>
    <w:rsid w:val="00245C4E"/>
    <w:rsid w:val="00255B36"/>
    <w:rsid w:val="002760A1"/>
    <w:rsid w:val="002A141C"/>
    <w:rsid w:val="002A65D5"/>
    <w:rsid w:val="002C7E75"/>
    <w:rsid w:val="002D265E"/>
    <w:rsid w:val="002D5106"/>
    <w:rsid w:val="002E453F"/>
    <w:rsid w:val="002E7CF2"/>
    <w:rsid w:val="003039C7"/>
    <w:rsid w:val="0031656C"/>
    <w:rsid w:val="003231A5"/>
    <w:rsid w:val="00336BE6"/>
    <w:rsid w:val="003416C7"/>
    <w:rsid w:val="003500D6"/>
    <w:rsid w:val="00353558"/>
    <w:rsid w:val="00392D2A"/>
    <w:rsid w:val="00394729"/>
    <w:rsid w:val="003A728D"/>
    <w:rsid w:val="003B3E53"/>
    <w:rsid w:val="003B6AFE"/>
    <w:rsid w:val="003B6F9A"/>
    <w:rsid w:val="003C668B"/>
    <w:rsid w:val="003D07A4"/>
    <w:rsid w:val="003E23D4"/>
    <w:rsid w:val="003E5EFE"/>
    <w:rsid w:val="003F44DF"/>
    <w:rsid w:val="003F50C1"/>
    <w:rsid w:val="003F5714"/>
    <w:rsid w:val="004017D3"/>
    <w:rsid w:val="0041004C"/>
    <w:rsid w:val="00410B2A"/>
    <w:rsid w:val="00421B33"/>
    <w:rsid w:val="0042737B"/>
    <w:rsid w:val="00431744"/>
    <w:rsid w:val="00440F54"/>
    <w:rsid w:val="004574D8"/>
    <w:rsid w:val="00461098"/>
    <w:rsid w:val="004727DD"/>
    <w:rsid w:val="00473217"/>
    <w:rsid w:val="00497C97"/>
    <w:rsid w:val="004A1551"/>
    <w:rsid w:val="004B1CFC"/>
    <w:rsid w:val="004B31BA"/>
    <w:rsid w:val="004D62A4"/>
    <w:rsid w:val="005104CC"/>
    <w:rsid w:val="0053389A"/>
    <w:rsid w:val="00536616"/>
    <w:rsid w:val="0054137F"/>
    <w:rsid w:val="00543B0F"/>
    <w:rsid w:val="00544300"/>
    <w:rsid w:val="00545A4C"/>
    <w:rsid w:val="00545DE3"/>
    <w:rsid w:val="005462D2"/>
    <w:rsid w:val="005612AF"/>
    <w:rsid w:val="00587F26"/>
    <w:rsid w:val="005A30D7"/>
    <w:rsid w:val="005B77D1"/>
    <w:rsid w:val="005D1F4C"/>
    <w:rsid w:val="005E50FC"/>
    <w:rsid w:val="005F1014"/>
    <w:rsid w:val="00613379"/>
    <w:rsid w:val="0062031C"/>
    <w:rsid w:val="00651290"/>
    <w:rsid w:val="00651913"/>
    <w:rsid w:val="00655391"/>
    <w:rsid w:val="00656DFB"/>
    <w:rsid w:val="00663A93"/>
    <w:rsid w:val="00666788"/>
    <w:rsid w:val="00676996"/>
    <w:rsid w:val="006A7B39"/>
    <w:rsid w:val="006B6202"/>
    <w:rsid w:val="006B6536"/>
    <w:rsid w:val="006D144A"/>
    <w:rsid w:val="006E33D1"/>
    <w:rsid w:val="006F221D"/>
    <w:rsid w:val="006F3548"/>
    <w:rsid w:val="00704A5F"/>
    <w:rsid w:val="00704FC9"/>
    <w:rsid w:val="00710BA3"/>
    <w:rsid w:val="0071397A"/>
    <w:rsid w:val="00716712"/>
    <w:rsid w:val="007315C0"/>
    <w:rsid w:val="007359C9"/>
    <w:rsid w:val="007374A1"/>
    <w:rsid w:val="00750DCF"/>
    <w:rsid w:val="00762F15"/>
    <w:rsid w:val="00765C22"/>
    <w:rsid w:val="007857F0"/>
    <w:rsid w:val="00790A13"/>
    <w:rsid w:val="00790D25"/>
    <w:rsid w:val="0079583A"/>
    <w:rsid w:val="007C323E"/>
    <w:rsid w:val="007D5C40"/>
    <w:rsid w:val="007D69BD"/>
    <w:rsid w:val="007E2D98"/>
    <w:rsid w:val="007F6611"/>
    <w:rsid w:val="008249A3"/>
    <w:rsid w:val="008311CE"/>
    <w:rsid w:val="0083312A"/>
    <w:rsid w:val="008350FF"/>
    <w:rsid w:val="00840438"/>
    <w:rsid w:val="00847276"/>
    <w:rsid w:val="00855EC0"/>
    <w:rsid w:val="008567CE"/>
    <w:rsid w:val="00861DD6"/>
    <w:rsid w:val="00867232"/>
    <w:rsid w:val="00896835"/>
    <w:rsid w:val="008A2315"/>
    <w:rsid w:val="008B11C1"/>
    <w:rsid w:val="008B2215"/>
    <w:rsid w:val="008B454A"/>
    <w:rsid w:val="008C336C"/>
    <w:rsid w:val="008C61B6"/>
    <w:rsid w:val="008C768B"/>
    <w:rsid w:val="008E3992"/>
    <w:rsid w:val="008E502B"/>
    <w:rsid w:val="008F13CA"/>
    <w:rsid w:val="00926EA1"/>
    <w:rsid w:val="00934394"/>
    <w:rsid w:val="0095252F"/>
    <w:rsid w:val="00953500"/>
    <w:rsid w:val="0095694A"/>
    <w:rsid w:val="00975AF6"/>
    <w:rsid w:val="00980944"/>
    <w:rsid w:val="009919F1"/>
    <w:rsid w:val="00993CFB"/>
    <w:rsid w:val="009A3D26"/>
    <w:rsid w:val="009A792B"/>
    <w:rsid w:val="009E2BA8"/>
    <w:rsid w:val="009F0215"/>
    <w:rsid w:val="009F1B3B"/>
    <w:rsid w:val="009F5054"/>
    <w:rsid w:val="00A01196"/>
    <w:rsid w:val="00A046A7"/>
    <w:rsid w:val="00A238D2"/>
    <w:rsid w:val="00A30F34"/>
    <w:rsid w:val="00A33255"/>
    <w:rsid w:val="00A37F28"/>
    <w:rsid w:val="00A404A1"/>
    <w:rsid w:val="00A60F95"/>
    <w:rsid w:val="00A748A7"/>
    <w:rsid w:val="00A8689F"/>
    <w:rsid w:val="00A93459"/>
    <w:rsid w:val="00A940FF"/>
    <w:rsid w:val="00A94F07"/>
    <w:rsid w:val="00A96CDC"/>
    <w:rsid w:val="00AA7C6B"/>
    <w:rsid w:val="00AB7BB2"/>
    <w:rsid w:val="00AE41AF"/>
    <w:rsid w:val="00AF0FB3"/>
    <w:rsid w:val="00AF1E0A"/>
    <w:rsid w:val="00AF3AEF"/>
    <w:rsid w:val="00AF44E4"/>
    <w:rsid w:val="00B10601"/>
    <w:rsid w:val="00B10D9A"/>
    <w:rsid w:val="00B14B93"/>
    <w:rsid w:val="00B15A44"/>
    <w:rsid w:val="00B50EF5"/>
    <w:rsid w:val="00B54322"/>
    <w:rsid w:val="00B55886"/>
    <w:rsid w:val="00B57144"/>
    <w:rsid w:val="00B81A88"/>
    <w:rsid w:val="00B854E6"/>
    <w:rsid w:val="00B90BBE"/>
    <w:rsid w:val="00B9235D"/>
    <w:rsid w:val="00B923E9"/>
    <w:rsid w:val="00B966F4"/>
    <w:rsid w:val="00BA60C3"/>
    <w:rsid w:val="00BB102C"/>
    <w:rsid w:val="00BC181C"/>
    <w:rsid w:val="00BD66A8"/>
    <w:rsid w:val="00BE0731"/>
    <w:rsid w:val="00BE5DE3"/>
    <w:rsid w:val="00BF1AAA"/>
    <w:rsid w:val="00C05FE6"/>
    <w:rsid w:val="00C10099"/>
    <w:rsid w:val="00C159DA"/>
    <w:rsid w:val="00C22172"/>
    <w:rsid w:val="00C2477A"/>
    <w:rsid w:val="00C333A2"/>
    <w:rsid w:val="00C42756"/>
    <w:rsid w:val="00C60BB7"/>
    <w:rsid w:val="00C75D27"/>
    <w:rsid w:val="00C87933"/>
    <w:rsid w:val="00CB59F3"/>
    <w:rsid w:val="00CC0E4F"/>
    <w:rsid w:val="00CC6CA1"/>
    <w:rsid w:val="00CC70F4"/>
    <w:rsid w:val="00CD40B9"/>
    <w:rsid w:val="00CD644C"/>
    <w:rsid w:val="00CE031D"/>
    <w:rsid w:val="00CE318A"/>
    <w:rsid w:val="00CF2524"/>
    <w:rsid w:val="00CF34B6"/>
    <w:rsid w:val="00CF6738"/>
    <w:rsid w:val="00D07046"/>
    <w:rsid w:val="00D148A4"/>
    <w:rsid w:val="00D21980"/>
    <w:rsid w:val="00D251EF"/>
    <w:rsid w:val="00D277C9"/>
    <w:rsid w:val="00D336CE"/>
    <w:rsid w:val="00D3478B"/>
    <w:rsid w:val="00D43EC8"/>
    <w:rsid w:val="00D61E18"/>
    <w:rsid w:val="00D622CE"/>
    <w:rsid w:val="00D723A6"/>
    <w:rsid w:val="00D726D0"/>
    <w:rsid w:val="00D96B5F"/>
    <w:rsid w:val="00DA2C81"/>
    <w:rsid w:val="00DA63FE"/>
    <w:rsid w:val="00DB4405"/>
    <w:rsid w:val="00DC1609"/>
    <w:rsid w:val="00DE0FE2"/>
    <w:rsid w:val="00DE1F00"/>
    <w:rsid w:val="00DF411D"/>
    <w:rsid w:val="00E0137A"/>
    <w:rsid w:val="00E04B45"/>
    <w:rsid w:val="00E11A10"/>
    <w:rsid w:val="00E1305A"/>
    <w:rsid w:val="00E21E3F"/>
    <w:rsid w:val="00E356D0"/>
    <w:rsid w:val="00E459AC"/>
    <w:rsid w:val="00E55B18"/>
    <w:rsid w:val="00E93E0E"/>
    <w:rsid w:val="00EA1D31"/>
    <w:rsid w:val="00EE5851"/>
    <w:rsid w:val="00EE70D3"/>
    <w:rsid w:val="00EF2715"/>
    <w:rsid w:val="00EF2F58"/>
    <w:rsid w:val="00EF53F8"/>
    <w:rsid w:val="00F14435"/>
    <w:rsid w:val="00F2115C"/>
    <w:rsid w:val="00F248E0"/>
    <w:rsid w:val="00F267E4"/>
    <w:rsid w:val="00F3594C"/>
    <w:rsid w:val="00F35F98"/>
    <w:rsid w:val="00F37EA2"/>
    <w:rsid w:val="00F41A92"/>
    <w:rsid w:val="00FA3A5F"/>
    <w:rsid w:val="00FB2E2C"/>
    <w:rsid w:val="00FC7934"/>
    <w:rsid w:val="00FE171A"/>
    <w:rsid w:val="00FE557B"/>
    <w:rsid w:val="00FF4E2E"/>
    <w:rsid w:val="1FD0E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E2AAD"/>
  <w15:docId w15:val="{F55CBE86-7744-4AA6-806E-9BFB2F387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67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1CE"/>
    <w:pPr>
      <w:ind w:left="720"/>
      <w:contextualSpacing/>
    </w:pPr>
  </w:style>
  <w:style w:type="paragraph" w:styleId="FootnoteText">
    <w:name w:val="footnote text"/>
    <w:basedOn w:val="Normal"/>
    <w:link w:val="FootnoteTextChar"/>
    <w:uiPriority w:val="99"/>
    <w:semiHidden/>
    <w:unhideWhenUsed/>
    <w:rsid w:val="00710B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BA3"/>
    <w:rPr>
      <w:sz w:val="20"/>
      <w:szCs w:val="20"/>
    </w:rPr>
  </w:style>
  <w:style w:type="character" w:styleId="FootnoteReference">
    <w:name w:val="footnote reference"/>
    <w:basedOn w:val="DefaultParagraphFont"/>
    <w:uiPriority w:val="99"/>
    <w:semiHidden/>
    <w:unhideWhenUsed/>
    <w:rsid w:val="00710BA3"/>
    <w:rPr>
      <w:vertAlign w:val="superscript"/>
    </w:rPr>
  </w:style>
  <w:style w:type="paragraph" w:styleId="BalloonText">
    <w:name w:val="Balloon Text"/>
    <w:basedOn w:val="Normal"/>
    <w:link w:val="BalloonTextChar"/>
    <w:uiPriority w:val="99"/>
    <w:semiHidden/>
    <w:unhideWhenUsed/>
    <w:rsid w:val="00091D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DFC"/>
    <w:rPr>
      <w:rFonts w:ascii="Segoe UI" w:hAnsi="Segoe UI" w:cs="Segoe UI"/>
      <w:sz w:val="18"/>
      <w:szCs w:val="18"/>
    </w:rPr>
  </w:style>
  <w:style w:type="character" w:styleId="CommentReference">
    <w:name w:val="annotation reference"/>
    <w:basedOn w:val="DefaultParagraphFont"/>
    <w:uiPriority w:val="99"/>
    <w:semiHidden/>
    <w:unhideWhenUsed/>
    <w:rsid w:val="004017D3"/>
    <w:rPr>
      <w:sz w:val="16"/>
      <w:szCs w:val="16"/>
    </w:rPr>
  </w:style>
  <w:style w:type="paragraph" w:styleId="CommentText">
    <w:name w:val="annotation text"/>
    <w:basedOn w:val="Normal"/>
    <w:link w:val="CommentTextChar"/>
    <w:uiPriority w:val="99"/>
    <w:semiHidden/>
    <w:unhideWhenUsed/>
    <w:rsid w:val="004017D3"/>
    <w:pPr>
      <w:spacing w:line="240" w:lineRule="auto"/>
    </w:pPr>
    <w:rPr>
      <w:sz w:val="20"/>
      <w:szCs w:val="20"/>
    </w:rPr>
  </w:style>
  <w:style w:type="character" w:customStyle="1" w:styleId="CommentTextChar">
    <w:name w:val="Comment Text Char"/>
    <w:basedOn w:val="DefaultParagraphFont"/>
    <w:link w:val="CommentText"/>
    <w:uiPriority w:val="99"/>
    <w:semiHidden/>
    <w:rsid w:val="004017D3"/>
    <w:rPr>
      <w:sz w:val="20"/>
      <w:szCs w:val="20"/>
    </w:rPr>
  </w:style>
  <w:style w:type="paragraph" w:styleId="CommentSubject">
    <w:name w:val="annotation subject"/>
    <w:basedOn w:val="CommentText"/>
    <w:next w:val="CommentText"/>
    <w:link w:val="CommentSubjectChar"/>
    <w:uiPriority w:val="99"/>
    <w:semiHidden/>
    <w:unhideWhenUsed/>
    <w:rsid w:val="004017D3"/>
    <w:rPr>
      <w:b/>
      <w:bCs/>
    </w:rPr>
  </w:style>
  <w:style w:type="character" w:customStyle="1" w:styleId="CommentSubjectChar">
    <w:name w:val="Comment Subject Char"/>
    <w:basedOn w:val="CommentTextChar"/>
    <w:link w:val="CommentSubject"/>
    <w:uiPriority w:val="99"/>
    <w:semiHidden/>
    <w:rsid w:val="004017D3"/>
    <w:rPr>
      <w:b/>
      <w:bCs/>
      <w:sz w:val="20"/>
      <w:szCs w:val="20"/>
    </w:rPr>
  </w:style>
  <w:style w:type="paragraph" w:styleId="Title">
    <w:name w:val="Title"/>
    <w:basedOn w:val="Normal"/>
    <w:next w:val="Normal"/>
    <w:link w:val="TitleChar"/>
    <w:uiPriority w:val="10"/>
    <w:qFormat/>
    <w:rsid w:val="00F267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7E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267E4"/>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F267E4"/>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3F5714"/>
    <w:pPr>
      <w:spacing w:after="0" w:line="240" w:lineRule="auto"/>
    </w:pPr>
  </w:style>
  <w:style w:type="paragraph" w:styleId="Header">
    <w:name w:val="header"/>
    <w:basedOn w:val="Normal"/>
    <w:link w:val="HeaderChar"/>
    <w:uiPriority w:val="99"/>
    <w:semiHidden/>
    <w:unhideWhenUsed/>
    <w:rsid w:val="00B14B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4B93"/>
  </w:style>
  <w:style w:type="paragraph" w:styleId="Footer">
    <w:name w:val="footer"/>
    <w:basedOn w:val="Normal"/>
    <w:link w:val="FooterChar"/>
    <w:uiPriority w:val="99"/>
    <w:semiHidden/>
    <w:unhideWhenUsed/>
    <w:rsid w:val="00B14B9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14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BD586-012D-482C-8C84-6135EAAD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Clampitt</dc:creator>
  <cp:keywords/>
  <dc:description/>
  <cp:lastModifiedBy>Steven Coulter</cp:lastModifiedBy>
  <cp:revision>2</cp:revision>
  <cp:lastPrinted>2017-10-16T21:58:00Z</cp:lastPrinted>
  <dcterms:created xsi:type="dcterms:W3CDTF">2017-10-17T17:21:00Z</dcterms:created>
  <dcterms:modified xsi:type="dcterms:W3CDTF">2017-10-17T17:21:00Z</dcterms:modified>
</cp:coreProperties>
</file>