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5B6799" w14:textId="059E99FF" w:rsidR="006F1D3A" w:rsidRPr="006B3453" w:rsidRDefault="006F1D3A" w:rsidP="006F1D3A">
      <w:pPr>
        <w:pStyle w:val="Title"/>
        <w:rPr>
          <w:sz w:val="48"/>
          <w:szCs w:val="48"/>
        </w:rPr>
      </w:pPr>
      <w:bookmarkStart w:id="0" w:name="_GoBack"/>
      <w:bookmarkEnd w:id="0"/>
      <w:r>
        <w:rPr>
          <w:sz w:val="48"/>
          <w:szCs w:val="48"/>
        </w:rPr>
        <w:t>LNBA Item 8</w:t>
      </w:r>
      <w:r w:rsidRPr="2D926EEB">
        <w:rPr>
          <w:sz w:val="48"/>
          <w:szCs w:val="48"/>
        </w:rPr>
        <w:t xml:space="preserve">: </w:t>
      </w:r>
      <w:r>
        <w:rPr>
          <w:sz w:val="48"/>
          <w:szCs w:val="48"/>
        </w:rPr>
        <w:t>Unplanned Grid Needs</w:t>
      </w:r>
    </w:p>
    <w:p w14:paraId="14A23BA4" w14:textId="3598CCBF" w:rsidR="006F1D3A" w:rsidRPr="00DD5ECC" w:rsidRDefault="006F1D3A" w:rsidP="006F1D3A">
      <w:pPr>
        <w:pStyle w:val="Subtitle"/>
        <w:spacing w:after="0"/>
        <w:rPr>
          <w:rFonts w:ascii="Times New Roman" w:hAnsi="Times New Roman" w:cs="Times New Roman"/>
          <w:sz w:val="24"/>
          <w:szCs w:val="24"/>
        </w:rPr>
      </w:pPr>
      <w:r>
        <w:rPr>
          <w:rFonts w:ascii="Times New Roman" w:hAnsi="Times New Roman" w:cs="Times New Roman"/>
          <w:sz w:val="24"/>
          <w:szCs w:val="24"/>
        </w:rPr>
        <w:t>CALSEIA response to IOU presentation</w:t>
      </w:r>
    </w:p>
    <w:p w14:paraId="2ED6BB26" w14:textId="38D60210" w:rsidR="006F1D3A" w:rsidRDefault="006F1D3A" w:rsidP="006F1D3A">
      <w:pPr>
        <w:pStyle w:val="Subtitle"/>
        <w:spacing w:after="0"/>
        <w:rPr>
          <w:rFonts w:ascii="Times New Roman" w:hAnsi="Times New Roman" w:cs="Times New Roman"/>
          <w:sz w:val="24"/>
          <w:szCs w:val="24"/>
        </w:rPr>
      </w:pPr>
      <w:r>
        <w:rPr>
          <w:rFonts w:ascii="Times New Roman" w:hAnsi="Times New Roman" w:cs="Times New Roman"/>
          <w:sz w:val="24"/>
          <w:szCs w:val="24"/>
        </w:rPr>
        <w:t>LNB</w:t>
      </w:r>
      <w:r w:rsidRPr="00DD5ECC">
        <w:rPr>
          <w:rFonts w:ascii="Times New Roman" w:hAnsi="Times New Roman" w:cs="Times New Roman"/>
          <w:sz w:val="24"/>
          <w:szCs w:val="24"/>
        </w:rPr>
        <w:t>A Working Grou</w:t>
      </w:r>
      <w:r>
        <w:rPr>
          <w:rFonts w:ascii="Times New Roman" w:hAnsi="Times New Roman" w:cs="Times New Roman"/>
          <w:sz w:val="24"/>
          <w:szCs w:val="24"/>
        </w:rPr>
        <w:t>p</w:t>
      </w:r>
    </w:p>
    <w:p w14:paraId="7ED67FF6" w14:textId="77777777" w:rsidR="006F1D3A" w:rsidRPr="00487408" w:rsidRDefault="006F1D3A" w:rsidP="006F1D3A">
      <w:pPr>
        <w:pStyle w:val="Subtitle"/>
        <w:spacing w:after="0"/>
        <w:rPr>
          <w:rFonts w:ascii="Times New Roman" w:hAnsi="Times New Roman" w:cs="Times New Roman"/>
          <w:sz w:val="24"/>
          <w:szCs w:val="24"/>
        </w:rPr>
      </w:pPr>
      <w:r>
        <w:rPr>
          <w:rFonts w:ascii="Times New Roman" w:hAnsi="Times New Roman" w:cs="Times New Roman"/>
          <w:sz w:val="24"/>
          <w:szCs w:val="24"/>
        </w:rPr>
        <w:t>October 27, 2017</w:t>
      </w:r>
    </w:p>
    <w:p w14:paraId="05F7F46F" w14:textId="77777777" w:rsidR="006F1D3A" w:rsidRPr="00DD5ECC" w:rsidRDefault="006F1D3A" w:rsidP="006F1D3A">
      <w:pPr>
        <w:rPr>
          <w:rFonts w:ascii="Times New Roman" w:hAnsi="Times New Roman" w:cs="Times New Roman"/>
        </w:rPr>
      </w:pPr>
    </w:p>
    <w:p w14:paraId="2F7C5DBD" w14:textId="7CCA40BD" w:rsidR="00C15376" w:rsidRPr="00C15376" w:rsidRDefault="00850FEA" w:rsidP="00C15376">
      <w:pPr>
        <w:rPr>
          <w:rFonts w:ascii="Times New Roman" w:hAnsi="Times New Roman" w:cs="Times New Roman"/>
        </w:rPr>
      </w:pPr>
      <w:r>
        <w:rPr>
          <w:rFonts w:ascii="Times New Roman" w:hAnsi="Times New Roman" w:cs="Times New Roman"/>
        </w:rPr>
        <w:t>The LNBA Working Group is ch</w:t>
      </w:r>
      <w:r w:rsidR="00C15376">
        <w:rPr>
          <w:rFonts w:ascii="Times New Roman" w:hAnsi="Times New Roman" w:cs="Times New Roman"/>
        </w:rPr>
        <w:t>arged with quantifying the value of</w:t>
      </w:r>
      <w:r w:rsidR="00C15376" w:rsidRPr="00C15376">
        <w:rPr>
          <w:rFonts w:ascii="Times New Roman" w:hAnsi="Times New Roman" w:cs="Times New Roman"/>
        </w:rPr>
        <w:t xml:space="preserve"> unplanned grid</w:t>
      </w:r>
    </w:p>
    <w:p w14:paraId="138A3F88" w14:textId="557CD07A" w:rsidR="00C15376" w:rsidRDefault="00C15376" w:rsidP="00C15376">
      <w:pPr>
        <w:rPr>
          <w:rFonts w:ascii="Times New Roman" w:hAnsi="Times New Roman" w:cs="Times New Roman"/>
        </w:rPr>
      </w:pPr>
      <w:r w:rsidRPr="00C15376">
        <w:rPr>
          <w:rFonts w:ascii="Times New Roman" w:hAnsi="Times New Roman" w:cs="Times New Roman"/>
        </w:rPr>
        <w:t>needs w</w:t>
      </w:r>
      <w:r>
        <w:rPr>
          <w:rFonts w:ascii="Times New Roman" w:hAnsi="Times New Roman" w:cs="Times New Roman"/>
        </w:rPr>
        <w:t>ithin the planning period</w:t>
      </w:r>
      <w:r w:rsidR="00D576D2">
        <w:rPr>
          <w:rFonts w:ascii="Times New Roman" w:hAnsi="Times New Roman" w:cs="Times New Roman"/>
        </w:rPr>
        <w:t xml:space="preserve"> and needs beyond the ten-</w:t>
      </w:r>
      <w:r w:rsidRPr="00C15376">
        <w:rPr>
          <w:rFonts w:ascii="Times New Roman" w:hAnsi="Times New Roman" w:cs="Times New Roman"/>
        </w:rPr>
        <w:t>year planning horizon</w:t>
      </w:r>
      <w:r>
        <w:rPr>
          <w:rFonts w:ascii="Times New Roman" w:hAnsi="Times New Roman" w:cs="Times New Roman"/>
        </w:rPr>
        <w:t>. This was discussed at the October 16, 2017 Working Group meeting. The IOUs made a presentation at the meeting, but have not formulated a proposal.</w:t>
      </w:r>
      <w:r w:rsidRPr="00C15376">
        <w:rPr>
          <w:rFonts w:ascii="Times New Roman" w:hAnsi="Times New Roman" w:cs="Times New Roman"/>
        </w:rPr>
        <w:t xml:space="preserve"> </w:t>
      </w:r>
    </w:p>
    <w:p w14:paraId="4B93F506" w14:textId="77777777" w:rsidR="00850FEA" w:rsidRDefault="00850FEA" w:rsidP="00850FEA">
      <w:pPr>
        <w:rPr>
          <w:rFonts w:ascii="Times New Roman" w:hAnsi="Times New Roman" w:cs="Times New Roman"/>
        </w:rPr>
      </w:pPr>
    </w:p>
    <w:p w14:paraId="0F9D2275" w14:textId="0519E9FF" w:rsidR="006F1D3A" w:rsidRPr="006F1D3A" w:rsidRDefault="006F1D3A" w:rsidP="006F1D3A">
      <w:pPr>
        <w:pStyle w:val="Heading1"/>
        <w:spacing w:before="0"/>
      </w:pPr>
      <w:r>
        <w:t xml:space="preserve">Comments </w:t>
      </w:r>
    </w:p>
    <w:p w14:paraId="5EE12B6F" w14:textId="611A00A6" w:rsidR="009277CF" w:rsidRPr="009277CF" w:rsidRDefault="009277CF">
      <w:pPr>
        <w:rPr>
          <w:rFonts w:ascii="Times New Roman" w:eastAsia="Times New Roman" w:hAnsi="Times New Roman" w:cs="Times New Roman"/>
        </w:rPr>
      </w:pPr>
      <w:r w:rsidRPr="009277CF">
        <w:rPr>
          <w:rFonts w:ascii="Times New Roman" w:hAnsi="Times New Roman" w:cs="Times New Roman"/>
        </w:rPr>
        <w:t xml:space="preserve">The IOUs </w:t>
      </w:r>
      <w:r>
        <w:rPr>
          <w:rFonts w:ascii="Times New Roman" w:hAnsi="Times New Roman" w:cs="Times New Roman"/>
        </w:rPr>
        <w:t>claim that, with the exception of large spot capacity needs such as establishing service for a new casino, all needed increases in capacity are long planned. They state,</w:t>
      </w:r>
      <w:r w:rsidRPr="009277CF">
        <w:rPr>
          <w:rFonts w:ascii="Times New Roman" w:hAnsi="Times New Roman" w:cs="Times New Roman"/>
        </w:rPr>
        <w:t xml:space="preserve"> </w:t>
      </w:r>
      <w:r>
        <w:rPr>
          <w:rFonts w:ascii="Times New Roman" w:hAnsi="Times New Roman" w:cs="Times New Roman"/>
        </w:rPr>
        <w:t>“</w:t>
      </w:r>
      <w:r w:rsidRPr="009277CF">
        <w:rPr>
          <w:rFonts w:ascii="Times New Roman" w:eastAsia="Times New Roman" w:hAnsi="Times New Roman" w:cs="Times New Roman"/>
        </w:rPr>
        <w:t>the IOU load addition process is set up to have visibility of capacity needs long before they arise due to typical load growth</w:t>
      </w:r>
      <w:r>
        <w:rPr>
          <w:rFonts w:ascii="Times New Roman" w:eastAsia="Times New Roman" w:hAnsi="Times New Roman" w:cs="Times New Roman"/>
        </w:rPr>
        <w:t>.”</w:t>
      </w:r>
      <w:r w:rsidR="00850FEA">
        <w:rPr>
          <w:rStyle w:val="FootnoteReference"/>
          <w:rFonts w:ascii="Times New Roman" w:eastAsia="Times New Roman" w:hAnsi="Times New Roman" w:cs="Times New Roman"/>
        </w:rPr>
        <w:footnoteReference w:id="1"/>
      </w:r>
    </w:p>
    <w:p w14:paraId="7F4C2114" w14:textId="77777777" w:rsidR="009277CF" w:rsidRDefault="009277CF">
      <w:pPr>
        <w:rPr>
          <w:rFonts w:ascii="Times New Roman" w:hAnsi="Times New Roman" w:cs="Times New Roman"/>
        </w:rPr>
      </w:pPr>
    </w:p>
    <w:p w14:paraId="557ECDE9" w14:textId="76F0C94D" w:rsidR="00C8353B" w:rsidRDefault="00C8353B">
      <w:pPr>
        <w:rPr>
          <w:rFonts w:ascii="Times New Roman" w:hAnsi="Times New Roman" w:cs="Times New Roman"/>
        </w:rPr>
      </w:pPr>
      <w:r>
        <w:rPr>
          <w:rFonts w:ascii="Times New Roman" w:hAnsi="Times New Roman" w:cs="Times New Roman"/>
        </w:rPr>
        <w:t xml:space="preserve">This may </w:t>
      </w:r>
      <w:r w:rsidRPr="00C15376">
        <w:rPr>
          <w:rFonts w:ascii="Times New Roman" w:hAnsi="Times New Roman" w:cs="Times New Roman"/>
          <w:i/>
        </w:rPr>
        <w:t>not</w:t>
      </w:r>
      <w:r>
        <w:rPr>
          <w:rFonts w:ascii="Times New Roman" w:hAnsi="Times New Roman" w:cs="Times New Roman"/>
        </w:rPr>
        <w:t xml:space="preserve"> be true for voltage-related projects. The IOUs need to share more information with the Working Group on how far in advance they typically identify specific voltage-related distribution upgrades.</w:t>
      </w:r>
    </w:p>
    <w:p w14:paraId="3C968ECB" w14:textId="77777777" w:rsidR="00C8353B" w:rsidRDefault="00C8353B">
      <w:pPr>
        <w:rPr>
          <w:rFonts w:ascii="Times New Roman" w:hAnsi="Times New Roman" w:cs="Times New Roman"/>
        </w:rPr>
      </w:pPr>
    </w:p>
    <w:p w14:paraId="0E677AB9" w14:textId="72E72023" w:rsidR="00C8353B" w:rsidRDefault="00C8353B">
      <w:pPr>
        <w:rPr>
          <w:rFonts w:ascii="Times New Roman" w:hAnsi="Times New Roman" w:cs="Times New Roman"/>
        </w:rPr>
      </w:pPr>
      <w:r>
        <w:rPr>
          <w:rFonts w:ascii="Times New Roman" w:hAnsi="Times New Roman" w:cs="Times New Roman"/>
        </w:rPr>
        <w:t xml:space="preserve">For capacity projects, the relevant question is the pace </w:t>
      </w:r>
      <w:r w:rsidR="00597C4F">
        <w:rPr>
          <w:rFonts w:ascii="Times New Roman" w:hAnsi="Times New Roman" w:cs="Times New Roman"/>
        </w:rPr>
        <w:t xml:space="preserve">with which </w:t>
      </w:r>
      <w:r w:rsidR="00C15376">
        <w:rPr>
          <w:rFonts w:ascii="Times New Roman" w:hAnsi="Times New Roman" w:cs="Times New Roman"/>
        </w:rPr>
        <w:t>they move from vague needs to completed</w:t>
      </w:r>
      <w:r w:rsidR="00597C4F">
        <w:rPr>
          <w:rFonts w:ascii="Times New Roman" w:hAnsi="Times New Roman" w:cs="Times New Roman"/>
        </w:rPr>
        <w:t xml:space="preserve"> projects. If a project is clearly identified </w:t>
      </w:r>
      <w:r w:rsidR="00D32DEE">
        <w:rPr>
          <w:rFonts w:ascii="Times New Roman" w:hAnsi="Times New Roman" w:cs="Times New Roman"/>
        </w:rPr>
        <w:t>and planned for const</w:t>
      </w:r>
      <w:r w:rsidR="00C15376">
        <w:rPr>
          <w:rFonts w:ascii="Times New Roman" w:hAnsi="Times New Roman" w:cs="Times New Roman"/>
        </w:rPr>
        <w:t>ruction 3-5 years in the future,</w:t>
      </w:r>
      <w:r w:rsidR="00D32DEE">
        <w:rPr>
          <w:rFonts w:ascii="Times New Roman" w:hAnsi="Times New Roman" w:cs="Times New Roman"/>
        </w:rPr>
        <w:t xml:space="preserve"> utilities could run a DER solicitation to defer the project</w:t>
      </w:r>
      <w:r w:rsidR="00C15376">
        <w:rPr>
          <w:rFonts w:ascii="Times New Roman" w:hAnsi="Times New Roman" w:cs="Times New Roman"/>
        </w:rPr>
        <w:t>. However, this does not cover all of the benefits of DERs delaying upgrade needs</w:t>
      </w:r>
      <w:r w:rsidR="00D32DEE">
        <w:rPr>
          <w:rFonts w:ascii="Times New Roman" w:hAnsi="Times New Roman" w:cs="Times New Roman"/>
        </w:rPr>
        <w:t xml:space="preserve">. </w:t>
      </w:r>
    </w:p>
    <w:p w14:paraId="338FE766" w14:textId="77777777" w:rsidR="00597C4F" w:rsidRDefault="00597C4F">
      <w:pPr>
        <w:rPr>
          <w:rFonts w:ascii="Times New Roman" w:hAnsi="Times New Roman" w:cs="Times New Roman"/>
        </w:rPr>
      </w:pPr>
    </w:p>
    <w:p w14:paraId="34B5B375" w14:textId="08204A87" w:rsidR="00597C4F" w:rsidRDefault="00C15376">
      <w:pPr>
        <w:rPr>
          <w:rFonts w:ascii="Times New Roman" w:hAnsi="Times New Roman" w:cs="Times New Roman"/>
        </w:rPr>
      </w:pPr>
      <w:r>
        <w:rPr>
          <w:rFonts w:ascii="Times New Roman" w:hAnsi="Times New Roman" w:cs="Times New Roman"/>
        </w:rPr>
        <w:t>If</w:t>
      </w:r>
      <w:r w:rsidR="00597C4F">
        <w:rPr>
          <w:rFonts w:ascii="Times New Roman" w:hAnsi="Times New Roman" w:cs="Times New Roman"/>
        </w:rPr>
        <w:t xml:space="preserve"> a project has been gener</w:t>
      </w:r>
      <w:r w:rsidR="00D32DEE">
        <w:rPr>
          <w:rFonts w:ascii="Times New Roman" w:hAnsi="Times New Roman" w:cs="Times New Roman"/>
        </w:rPr>
        <w:t>ally understood to be a probable</w:t>
      </w:r>
      <w:r w:rsidR="00597C4F">
        <w:rPr>
          <w:rFonts w:ascii="Times New Roman" w:hAnsi="Times New Roman" w:cs="Times New Roman"/>
        </w:rPr>
        <w:t xml:space="preserve"> future need for a long time but did not get defined into a planned project until </w:t>
      </w:r>
      <w:r w:rsidR="00D32DEE">
        <w:rPr>
          <w:rFonts w:ascii="Times New Roman" w:hAnsi="Times New Roman" w:cs="Times New Roman"/>
        </w:rPr>
        <w:t xml:space="preserve">less than </w:t>
      </w:r>
      <w:r w:rsidR="00597C4F">
        <w:rPr>
          <w:rFonts w:ascii="Times New Roman" w:hAnsi="Times New Roman" w:cs="Times New Roman"/>
        </w:rPr>
        <w:t>three years before it is built, it missed the window for deferral</w:t>
      </w:r>
      <w:r w:rsidR="00D576D2">
        <w:rPr>
          <w:rFonts w:ascii="Times New Roman" w:hAnsi="Times New Roman" w:cs="Times New Roman"/>
        </w:rPr>
        <w:t xml:space="preserve"> solicitations</w:t>
      </w:r>
      <w:r w:rsidR="00597C4F">
        <w:rPr>
          <w:rFonts w:ascii="Times New Roman" w:hAnsi="Times New Roman" w:cs="Times New Roman"/>
        </w:rPr>
        <w:t>.</w:t>
      </w:r>
      <w:r w:rsidR="00D32DEE">
        <w:rPr>
          <w:rFonts w:ascii="Times New Roman" w:hAnsi="Times New Roman" w:cs="Times New Roman"/>
        </w:rPr>
        <w:t xml:space="preserve"> Incremental DER adoption in the affected area would still slow the need for project completion, but there would not be time for a solicitation for the purpose of pushing the project into a future planning year.</w:t>
      </w:r>
      <w:r w:rsidR="0010050B">
        <w:rPr>
          <w:rFonts w:ascii="Times New Roman" w:hAnsi="Times New Roman" w:cs="Times New Roman"/>
        </w:rPr>
        <w:t xml:space="preserve"> Even if it is not officially pushed back by a year or more, delaying the urgency of a project has value in creating flexibility for engineering and construction resources.</w:t>
      </w:r>
    </w:p>
    <w:p w14:paraId="4C5609EB" w14:textId="77777777" w:rsidR="006A416D" w:rsidRDefault="006A416D">
      <w:pPr>
        <w:rPr>
          <w:rFonts w:ascii="Times New Roman" w:hAnsi="Times New Roman" w:cs="Times New Roman"/>
        </w:rPr>
      </w:pPr>
    </w:p>
    <w:p w14:paraId="0C95BF21" w14:textId="77777777" w:rsidR="00D40C77" w:rsidRDefault="00D32DEE">
      <w:pPr>
        <w:rPr>
          <w:rFonts w:ascii="Times New Roman" w:hAnsi="Times New Roman" w:cs="Times New Roman"/>
        </w:rPr>
      </w:pPr>
      <w:r>
        <w:rPr>
          <w:rFonts w:ascii="Times New Roman" w:hAnsi="Times New Roman" w:cs="Times New Roman"/>
        </w:rPr>
        <w:t xml:space="preserve">More importantly, </w:t>
      </w:r>
      <w:r w:rsidR="006A416D">
        <w:rPr>
          <w:rFonts w:ascii="Times New Roman" w:hAnsi="Times New Roman" w:cs="Times New Roman"/>
        </w:rPr>
        <w:t xml:space="preserve">projects that are in the long-term plan </w:t>
      </w:r>
      <w:r w:rsidR="00310E1E">
        <w:rPr>
          <w:rFonts w:ascii="Times New Roman" w:hAnsi="Times New Roman" w:cs="Times New Roman"/>
        </w:rPr>
        <w:t xml:space="preserve">will </w:t>
      </w:r>
      <w:r w:rsidR="006A416D">
        <w:rPr>
          <w:rFonts w:ascii="Times New Roman" w:hAnsi="Times New Roman" w:cs="Times New Roman"/>
        </w:rPr>
        <w:t xml:space="preserve">move </w:t>
      </w:r>
      <w:r w:rsidR="00310E1E">
        <w:rPr>
          <w:rFonts w:ascii="Times New Roman" w:hAnsi="Times New Roman" w:cs="Times New Roman"/>
        </w:rPr>
        <w:t>more slowly toward</w:t>
      </w:r>
      <w:r w:rsidR="006A416D">
        <w:rPr>
          <w:rFonts w:ascii="Times New Roman" w:hAnsi="Times New Roman" w:cs="Times New Roman"/>
        </w:rPr>
        <w:t xml:space="preserve"> getting better defined and specifically planned </w:t>
      </w:r>
      <w:r w:rsidR="00D40C77">
        <w:rPr>
          <w:rFonts w:ascii="Times New Roman" w:hAnsi="Times New Roman" w:cs="Times New Roman"/>
        </w:rPr>
        <w:t>when</w:t>
      </w:r>
      <w:r w:rsidR="006A416D">
        <w:rPr>
          <w:rFonts w:ascii="Times New Roman" w:hAnsi="Times New Roman" w:cs="Times New Roman"/>
        </w:rPr>
        <w:t xml:space="preserve"> DER adoption </w:t>
      </w:r>
      <w:r w:rsidR="00D40C77">
        <w:rPr>
          <w:rFonts w:ascii="Times New Roman" w:hAnsi="Times New Roman" w:cs="Times New Roman"/>
        </w:rPr>
        <w:t>slows</w:t>
      </w:r>
      <w:r w:rsidR="006A416D">
        <w:rPr>
          <w:rFonts w:ascii="Times New Roman" w:hAnsi="Times New Roman" w:cs="Times New Roman"/>
        </w:rPr>
        <w:t xml:space="preserve"> anticipated load growth. This is an obvious benefit of DERs and may be nearly universal. The need for upgrades develops more slowly due to DER adoption. </w:t>
      </w:r>
    </w:p>
    <w:p w14:paraId="7DE6A28E" w14:textId="77777777" w:rsidR="00D40C77" w:rsidRDefault="00D40C77">
      <w:pPr>
        <w:rPr>
          <w:rFonts w:ascii="Times New Roman" w:hAnsi="Times New Roman" w:cs="Times New Roman"/>
        </w:rPr>
      </w:pPr>
    </w:p>
    <w:p w14:paraId="6C0C8CA2" w14:textId="04C24AB7" w:rsidR="00D40C77" w:rsidRDefault="006A416D">
      <w:pPr>
        <w:rPr>
          <w:rFonts w:ascii="Times New Roman" w:hAnsi="Times New Roman" w:cs="Times New Roman"/>
        </w:rPr>
      </w:pPr>
      <w:r>
        <w:rPr>
          <w:rFonts w:ascii="Times New Roman" w:hAnsi="Times New Roman" w:cs="Times New Roman"/>
        </w:rPr>
        <w:t xml:space="preserve">The </w:t>
      </w:r>
      <w:r w:rsidR="00D40C77">
        <w:rPr>
          <w:rFonts w:ascii="Times New Roman" w:hAnsi="Times New Roman" w:cs="Times New Roman"/>
        </w:rPr>
        <w:t xml:space="preserve">challenge is how to measure these benefits. </w:t>
      </w:r>
      <w:r w:rsidR="0029460C">
        <w:rPr>
          <w:rFonts w:ascii="Times New Roman" w:hAnsi="Times New Roman" w:cs="Times New Roman"/>
        </w:rPr>
        <w:t>The ACR directs utilities to “D</w:t>
      </w:r>
      <w:r w:rsidR="00597C4F">
        <w:rPr>
          <w:rFonts w:ascii="Times New Roman" w:hAnsi="Times New Roman" w:cs="Times New Roman"/>
        </w:rPr>
        <w:t xml:space="preserve">evelop </w:t>
      </w:r>
      <w:r w:rsidR="0029460C">
        <w:rPr>
          <w:rFonts w:ascii="Times New Roman" w:hAnsi="Times New Roman" w:cs="Times New Roman"/>
        </w:rPr>
        <w:t>a methodology to quantify the likelihood of an unplanned grid need</w:t>
      </w:r>
      <w:r w:rsidR="00D40C77">
        <w:rPr>
          <w:rFonts w:ascii="Times New Roman" w:hAnsi="Times New Roman" w:cs="Times New Roman"/>
        </w:rPr>
        <w:t xml:space="preserve"> (deferrable project)</w:t>
      </w:r>
      <w:r w:rsidR="0029460C">
        <w:rPr>
          <w:rFonts w:ascii="Times New Roman" w:hAnsi="Times New Roman" w:cs="Times New Roman"/>
        </w:rPr>
        <w:t xml:space="preserve"> emerging in a given location</w:t>
      </w:r>
      <w:r w:rsidR="00597C4F">
        <w:rPr>
          <w:rFonts w:ascii="Times New Roman" w:hAnsi="Times New Roman" w:cs="Times New Roman"/>
        </w:rPr>
        <w:t>.</w:t>
      </w:r>
      <w:r w:rsidR="0029460C">
        <w:rPr>
          <w:rFonts w:ascii="Times New Roman" w:hAnsi="Times New Roman" w:cs="Times New Roman"/>
        </w:rPr>
        <w:t>”</w:t>
      </w:r>
      <w:r w:rsidR="00597C4F">
        <w:rPr>
          <w:rFonts w:ascii="Times New Roman" w:hAnsi="Times New Roman" w:cs="Times New Roman"/>
        </w:rPr>
        <w:t xml:space="preserve"> The utilities hav</w:t>
      </w:r>
      <w:r w:rsidR="00E66E54">
        <w:rPr>
          <w:rFonts w:ascii="Times New Roman" w:hAnsi="Times New Roman" w:cs="Times New Roman"/>
        </w:rPr>
        <w:t>e responded that the</w:t>
      </w:r>
      <w:r>
        <w:rPr>
          <w:rFonts w:ascii="Times New Roman" w:hAnsi="Times New Roman" w:cs="Times New Roman"/>
        </w:rPr>
        <w:t xml:space="preserve"> probability is so low that it is not worth calculating.</w:t>
      </w:r>
      <w:r w:rsidR="00D40C77">
        <w:rPr>
          <w:rFonts w:ascii="Times New Roman" w:hAnsi="Times New Roman" w:cs="Times New Roman"/>
        </w:rPr>
        <w:t xml:space="preserve"> Again, they argue that unplanned grid needs are not deferrable because they arise too quickly.</w:t>
      </w:r>
    </w:p>
    <w:p w14:paraId="2501FB37" w14:textId="77777777" w:rsidR="00D40C77" w:rsidRDefault="00D40C77">
      <w:pPr>
        <w:rPr>
          <w:rFonts w:ascii="Times New Roman" w:hAnsi="Times New Roman" w:cs="Times New Roman"/>
        </w:rPr>
      </w:pPr>
    </w:p>
    <w:p w14:paraId="580F2314" w14:textId="524A28A5" w:rsidR="00D40C77" w:rsidRDefault="00D40C77">
      <w:pPr>
        <w:rPr>
          <w:rFonts w:ascii="Times New Roman" w:hAnsi="Times New Roman" w:cs="Times New Roman"/>
        </w:rPr>
      </w:pPr>
      <w:r>
        <w:rPr>
          <w:rFonts w:ascii="Times New Roman" w:hAnsi="Times New Roman" w:cs="Times New Roman"/>
        </w:rPr>
        <w:t>From a deferral solicitations perspective, this may be accurate. From a locational benefits perspective, this is the wrong question.</w:t>
      </w:r>
    </w:p>
    <w:p w14:paraId="27C8E4FD" w14:textId="77777777" w:rsidR="00C15376" w:rsidRDefault="00C15376">
      <w:pPr>
        <w:rPr>
          <w:rFonts w:ascii="Times New Roman" w:hAnsi="Times New Roman" w:cs="Times New Roman"/>
        </w:rPr>
      </w:pPr>
    </w:p>
    <w:p w14:paraId="799E153D" w14:textId="63C7F07B" w:rsidR="00223C2B" w:rsidRDefault="00D40C77" w:rsidP="00850FEA">
      <w:pPr>
        <w:tabs>
          <w:tab w:val="left" w:pos="360"/>
        </w:tabs>
        <w:rPr>
          <w:rFonts w:ascii="Times New Roman" w:hAnsi="Times New Roman" w:cs="Times New Roman"/>
        </w:rPr>
      </w:pPr>
      <w:r>
        <w:rPr>
          <w:rFonts w:ascii="Times New Roman" w:hAnsi="Times New Roman" w:cs="Times New Roman"/>
        </w:rPr>
        <w:t xml:space="preserve">As the LNBA moves beyond creating tools for deferral solicitations to measuring </w:t>
      </w:r>
      <w:r w:rsidR="00D55B50">
        <w:rPr>
          <w:rFonts w:ascii="Times New Roman" w:hAnsi="Times New Roman" w:cs="Times New Roman"/>
        </w:rPr>
        <w:t>locational benefits of DERs, it must take into account</w:t>
      </w:r>
      <w:r w:rsidR="00223C2B">
        <w:rPr>
          <w:rFonts w:ascii="Times New Roman" w:hAnsi="Times New Roman" w:cs="Times New Roman"/>
        </w:rPr>
        <w:t xml:space="preserve"> the benefits of:</w:t>
      </w:r>
    </w:p>
    <w:p w14:paraId="06732A38" w14:textId="5C455DA7" w:rsidR="00223C2B" w:rsidRDefault="00223C2B" w:rsidP="00223C2B">
      <w:pPr>
        <w:pStyle w:val="ListParagraph"/>
        <w:numPr>
          <w:ilvl w:val="0"/>
          <w:numId w:val="1"/>
        </w:numPr>
        <w:rPr>
          <w:rFonts w:ascii="Times New Roman" w:hAnsi="Times New Roman" w:cs="Times New Roman"/>
        </w:rPr>
      </w:pPr>
      <w:r>
        <w:rPr>
          <w:rFonts w:ascii="Times New Roman" w:hAnsi="Times New Roman" w:cs="Times New Roman"/>
        </w:rPr>
        <w:t>D</w:t>
      </w:r>
      <w:r w:rsidR="001B1915">
        <w:rPr>
          <w:rFonts w:ascii="Times New Roman" w:hAnsi="Times New Roman" w:cs="Times New Roman"/>
        </w:rPr>
        <w:t>elaying</w:t>
      </w:r>
      <w:r w:rsidR="00D55B50" w:rsidRPr="00223C2B">
        <w:rPr>
          <w:rFonts w:ascii="Times New Roman" w:hAnsi="Times New Roman" w:cs="Times New Roman"/>
        </w:rPr>
        <w:t xml:space="preserve"> upgrades</w:t>
      </w:r>
      <w:r>
        <w:rPr>
          <w:rFonts w:ascii="Times New Roman" w:hAnsi="Times New Roman" w:cs="Times New Roman"/>
        </w:rPr>
        <w:t xml:space="preserve"> that have been generally identified but not specifically planned.</w:t>
      </w:r>
    </w:p>
    <w:p w14:paraId="41250527" w14:textId="44438BDA" w:rsidR="00223C2B" w:rsidRDefault="00223C2B" w:rsidP="00223C2B">
      <w:pPr>
        <w:pStyle w:val="ListParagraph"/>
        <w:numPr>
          <w:ilvl w:val="0"/>
          <w:numId w:val="1"/>
        </w:numPr>
        <w:rPr>
          <w:rFonts w:ascii="Times New Roman" w:hAnsi="Times New Roman" w:cs="Times New Roman"/>
        </w:rPr>
      </w:pPr>
      <w:r>
        <w:rPr>
          <w:rFonts w:ascii="Times New Roman" w:hAnsi="Times New Roman" w:cs="Times New Roman"/>
        </w:rPr>
        <w:t>Delaying upgrades beyond the 10-year planning horizon.</w:t>
      </w:r>
    </w:p>
    <w:p w14:paraId="030AA240" w14:textId="022BC241" w:rsidR="00223C2B" w:rsidRDefault="00223C2B" w:rsidP="00223C2B">
      <w:pPr>
        <w:pStyle w:val="ListParagraph"/>
        <w:numPr>
          <w:ilvl w:val="0"/>
          <w:numId w:val="1"/>
        </w:numPr>
        <w:rPr>
          <w:rFonts w:ascii="Times New Roman" w:hAnsi="Times New Roman" w:cs="Times New Roman"/>
        </w:rPr>
      </w:pPr>
      <w:r>
        <w:rPr>
          <w:rFonts w:ascii="Times New Roman" w:hAnsi="Times New Roman" w:cs="Times New Roman"/>
        </w:rPr>
        <w:t>P</w:t>
      </w:r>
      <w:r w:rsidR="00D55B50" w:rsidRPr="00223C2B">
        <w:rPr>
          <w:rFonts w:ascii="Times New Roman" w:hAnsi="Times New Roman" w:cs="Times New Roman"/>
        </w:rPr>
        <w:t xml:space="preserve">roviding flexibility for upgrades under development. </w:t>
      </w:r>
    </w:p>
    <w:p w14:paraId="63EDF250" w14:textId="3A75E53E" w:rsidR="00223C2B" w:rsidRPr="00223C2B" w:rsidRDefault="00223C2B" w:rsidP="00223C2B">
      <w:pPr>
        <w:pStyle w:val="ListParagraph"/>
        <w:numPr>
          <w:ilvl w:val="0"/>
          <w:numId w:val="1"/>
        </w:numPr>
        <w:rPr>
          <w:rFonts w:ascii="Times New Roman" w:hAnsi="Times New Roman" w:cs="Times New Roman"/>
        </w:rPr>
      </w:pPr>
      <w:r>
        <w:rPr>
          <w:rFonts w:ascii="Times New Roman" w:hAnsi="Times New Roman" w:cs="Times New Roman"/>
        </w:rPr>
        <w:t>Deferring the need for voltage-related upgrades.</w:t>
      </w:r>
    </w:p>
    <w:p w14:paraId="5B702DE8" w14:textId="77777777" w:rsidR="00223C2B" w:rsidRDefault="00223C2B">
      <w:pPr>
        <w:rPr>
          <w:rFonts w:ascii="Times New Roman" w:hAnsi="Times New Roman" w:cs="Times New Roman"/>
        </w:rPr>
      </w:pPr>
    </w:p>
    <w:p w14:paraId="6C77D28A" w14:textId="361F27CF" w:rsidR="00721966" w:rsidRDefault="00721966" w:rsidP="00721966">
      <w:pPr>
        <w:rPr>
          <w:rFonts w:ascii="Times New Roman" w:hAnsi="Times New Roman" w:cs="Times New Roman"/>
        </w:rPr>
      </w:pPr>
      <w:r>
        <w:rPr>
          <w:rFonts w:ascii="Times New Roman" w:hAnsi="Times New Roman" w:cs="Times New Roman"/>
        </w:rPr>
        <w:t xml:space="preserve">To measure the extent to which upgrades proceed erratically through the planning process, the utilities could make two calculations. First, determining how many constructed projects were in the planning process for less than ten years would give an indication of the portion of projects that were not candidates for deferral solicitations due to timing. Second, determining how many projects have remained in planning documents longer than ten years would give an indication of what portion of projects were delayed due to </w:t>
      </w:r>
      <w:r w:rsidR="00E66E54">
        <w:rPr>
          <w:rFonts w:ascii="Times New Roman" w:hAnsi="Times New Roman" w:cs="Times New Roman"/>
        </w:rPr>
        <w:t xml:space="preserve">DER adoption and other </w:t>
      </w:r>
      <w:r>
        <w:rPr>
          <w:rFonts w:ascii="Times New Roman" w:hAnsi="Times New Roman" w:cs="Times New Roman"/>
        </w:rPr>
        <w:t>changes</w:t>
      </w:r>
      <w:r w:rsidR="00E66E54">
        <w:rPr>
          <w:rFonts w:ascii="Times New Roman" w:hAnsi="Times New Roman" w:cs="Times New Roman"/>
        </w:rPr>
        <w:t xml:space="preserve"> in forecasted load growth</w:t>
      </w:r>
      <w:r>
        <w:rPr>
          <w:rFonts w:ascii="Times New Roman" w:hAnsi="Times New Roman" w:cs="Times New Roman"/>
        </w:rPr>
        <w:t>.</w:t>
      </w:r>
    </w:p>
    <w:p w14:paraId="4BD4FC15" w14:textId="77777777" w:rsidR="00721966" w:rsidRDefault="00721966" w:rsidP="00721966">
      <w:pPr>
        <w:rPr>
          <w:rFonts w:ascii="Times New Roman" w:hAnsi="Times New Roman" w:cs="Times New Roman"/>
        </w:rPr>
      </w:pPr>
    </w:p>
    <w:p w14:paraId="15F5C5EB" w14:textId="2436B1CF" w:rsidR="00D40C77" w:rsidRDefault="00721966">
      <w:pPr>
        <w:rPr>
          <w:rFonts w:ascii="Times New Roman" w:hAnsi="Times New Roman" w:cs="Times New Roman"/>
        </w:rPr>
      </w:pPr>
      <w:r>
        <w:rPr>
          <w:rFonts w:ascii="Times New Roman" w:hAnsi="Times New Roman" w:cs="Times New Roman"/>
        </w:rPr>
        <w:t>During the October 16 Working Group meeting, the utilities stated that any such analysis would require too much investigation and would be difficult to do systematically. In absence of such a comprehensive analysis, t</w:t>
      </w:r>
      <w:r w:rsidR="00D55B50">
        <w:rPr>
          <w:rFonts w:ascii="Times New Roman" w:hAnsi="Times New Roman" w:cs="Times New Roman"/>
        </w:rPr>
        <w:t xml:space="preserve">he best way to </w:t>
      </w:r>
      <w:r>
        <w:rPr>
          <w:rFonts w:ascii="Times New Roman" w:hAnsi="Times New Roman" w:cs="Times New Roman"/>
        </w:rPr>
        <w:t>calculate these benefits is</w:t>
      </w:r>
      <w:r w:rsidR="00D55B50">
        <w:rPr>
          <w:rFonts w:ascii="Times New Roman" w:hAnsi="Times New Roman" w:cs="Times New Roman"/>
        </w:rPr>
        <w:t xml:space="preserve"> by </w:t>
      </w:r>
      <w:r w:rsidR="00223C2B">
        <w:rPr>
          <w:rFonts w:ascii="Times New Roman" w:hAnsi="Times New Roman" w:cs="Times New Roman"/>
        </w:rPr>
        <w:t>including</w:t>
      </w:r>
      <w:r w:rsidR="00D55B50">
        <w:rPr>
          <w:rFonts w:ascii="Times New Roman" w:hAnsi="Times New Roman" w:cs="Times New Roman"/>
        </w:rPr>
        <w:t xml:space="preserve"> dis</w:t>
      </w:r>
      <w:r w:rsidR="00223C2B">
        <w:rPr>
          <w:rFonts w:ascii="Times New Roman" w:hAnsi="Times New Roman" w:cs="Times New Roman"/>
        </w:rPr>
        <w:t xml:space="preserve">tribution marginal costs in the </w:t>
      </w:r>
      <w:r w:rsidR="00D55B50">
        <w:rPr>
          <w:rFonts w:ascii="Times New Roman" w:hAnsi="Times New Roman" w:cs="Times New Roman"/>
        </w:rPr>
        <w:t>value of incremental DER adoption.</w:t>
      </w:r>
    </w:p>
    <w:p w14:paraId="162AE8B4" w14:textId="23F23DAE" w:rsidR="005C4613" w:rsidRPr="009277CF" w:rsidRDefault="005C4613">
      <w:pPr>
        <w:rPr>
          <w:rFonts w:ascii="Times New Roman" w:hAnsi="Times New Roman" w:cs="Times New Roman"/>
        </w:rPr>
      </w:pPr>
    </w:p>
    <w:sectPr w:rsidR="005C4613" w:rsidRPr="009277CF" w:rsidSect="00D1559F">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3CD472" w14:textId="77777777" w:rsidR="00550030" w:rsidRDefault="00550030" w:rsidP="00850FEA">
      <w:r>
        <w:separator/>
      </w:r>
    </w:p>
  </w:endnote>
  <w:endnote w:type="continuationSeparator" w:id="0">
    <w:p w14:paraId="34AAFFC9" w14:textId="77777777" w:rsidR="00550030" w:rsidRDefault="00550030" w:rsidP="00850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D128C1" w14:textId="77777777" w:rsidR="00550030" w:rsidRDefault="00550030" w:rsidP="00850FEA">
      <w:r>
        <w:separator/>
      </w:r>
    </w:p>
  </w:footnote>
  <w:footnote w:type="continuationSeparator" w:id="0">
    <w:p w14:paraId="500938F5" w14:textId="77777777" w:rsidR="00550030" w:rsidRDefault="00550030" w:rsidP="00850FEA">
      <w:r>
        <w:continuationSeparator/>
      </w:r>
    </w:p>
  </w:footnote>
  <w:footnote w:id="1">
    <w:p w14:paraId="3D97D26C" w14:textId="61BD147E" w:rsidR="00C15376" w:rsidRPr="00850FEA" w:rsidRDefault="00C15376" w:rsidP="00850FEA">
      <w:pPr>
        <w:pStyle w:val="FootnoteText"/>
        <w:tabs>
          <w:tab w:val="left" w:pos="360"/>
        </w:tabs>
        <w:rPr>
          <w:sz w:val="22"/>
        </w:rPr>
      </w:pPr>
      <w:r w:rsidRPr="00850FEA">
        <w:rPr>
          <w:rStyle w:val="FootnoteReference"/>
          <w:sz w:val="22"/>
        </w:rPr>
        <w:footnoteRef/>
      </w:r>
      <w:r>
        <w:rPr>
          <w:sz w:val="22"/>
        </w:rPr>
        <w:t xml:space="preserve"> </w:t>
      </w:r>
      <w:r>
        <w:rPr>
          <w:sz w:val="22"/>
        </w:rPr>
        <w:tab/>
      </w:r>
      <w:r w:rsidRPr="00850FEA">
        <w:rPr>
          <w:sz w:val="22"/>
        </w:rPr>
        <w:t>IOU presentation slides, LNBA Working Group meeting, October 16, 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AA7CBA"/>
    <w:multiLevelType w:val="hybridMultilevel"/>
    <w:tmpl w:val="8578C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613"/>
    <w:rsid w:val="0010050B"/>
    <w:rsid w:val="001B1915"/>
    <w:rsid w:val="00223C2B"/>
    <w:rsid w:val="0029460C"/>
    <w:rsid w:val="00310E1E"/>
    <w:rsid w:val="004C0166"/>
    <w:rsid w:val="00550030"/>
    <w:rsid w:val="00597C4F"/>
    <w:rsid w:val="005C4613"/>
    <w:rsid w:val="006A416D"/>
    <w:rsid w:val="006F1D3A"/>
    <w:rsid w:val="00721966"/>
    <w:rsid w:val="00850FEA"/>
    <w:rsid w:val="009277CF"/>
    <w:rsid w:val="00B659BF"/>
    <w:rsid w:val="00C15376"/>
    <w:rsid w:val="00C8353B"/>
    <w:rsid w:val="00D1559F"/>
    <w:rsid w:val="00D32DEE"/>
    <w:rsid w:val="00D40C77"/>
    <w:rsid w:val="00D55B50"/>
    <w:rsid w:val="00D576D2"/>
    <w:rsid w:val="00E66E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CCFDB0"/>
  <w14:defaultImageDpi w14:val="300"/>
  <w15:docId w15:val="{211F0955-E07C-4509-AAAD-FF0CF1D28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1D3A"/>
    <w:pPr>
      <w:keepNext/>
      <w:keepLines/>
      <w:spacing w:before="24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D3A"/>
    <w:rPr>
      <w:rFonts w:asciiTheme="majorHAnsi" w:eastAsiaTheme="majorEastAsia" w:hAnsiTheme="majorHAnsi" w:cstheme="majorBidi"/>
      <w:color w:val="365F91" w:themeColor="accent1" w:themeShade="BF"/>
      <w:sz w:val="32"/>
      <w:szCs w:val="32"/>
    </w:rPr>
  </w:style>
  <w:style w:type="paragraph" w:styleId="Title">
    <w:name w:val="Title"/>
    <w:basedOn w:val="Normal"/>
    <w:next w:val="Normal"/>
    <w:link w:val="TitleChar"/>
    <w:uiPriority w:val="10"/>
    <w:qFormat/>
    <w:rsid w:val="006F1D3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1D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1D3A"/>
    <w:pPr>
      <w:numPr>
        <w:ilvl w:val="1"/>
      </w:numPr>
      <w:spacing w:after="160" w:line="259" w:lineRule="auto"/>
    </w:pPr>
    <w:rPr>
      <w:color w:val="5A5A5A" w:themeColor="text1" w:themeTint="A5"/>
      <w:spacing w:val="15"/>
      <w:sz w:val="22"/>
      <w:szCs w:val="22"/>
    </w:rPr>
  </w:style>
  <w:style w:type="character" w:customStyle="1" w:styleId="SubtitleChar">
    <w:name w:val="Subtitle Char"/>
    <w:basedOn w:val="DefaultParagraphFont"/>
    <w:link w:val="Subtitle"/>
    <w:uiPriority w:val="11"/>
    <w:rsid w:val="006F1D3A"/>
    <w:rPr>
      <w:color w:val="5A5A5A" w:themeColor="text1" w:themeTint="A5"/>
      <w:spacing w:val="15"/>
      <w:sz w:val="22"/>
      <w:szCs w:val="22"/>
    </w:rPr>
  </w:style>
  <w:style w:type="paragraph" w:styleId="ListParagraph">
    <w:name w:val="List Paragraph"/>
    <w:basedOn w:val="Normal"/>
    <w:uiPriority w:val="34"/>
    <w:qFormat/>
    <w:rsid w:val="00223C2B"/>
    <w:pPr>
      <w:ind w:left="720"/>
      <w:contextualSpacing/>
    </w:pPr>
  </w:style>
  <w:style w:type="paragraph" w:styleId="FootnoteText">
    <w:name w:val="footnote text"/>
    <w:basedOn w:val="Normal"/>
    <w:link w:val="FootnoteTextChar"/>
    <w:uiPriority w:val="99"/>
    <w:unhideWhenUsed/>
    <w:rsid w:val="00850FEA"/>
  </w:style>
  <w:style w:type="character" w:customStyle="1" w:styleId="FootnoteTextChar">
    <w:name w:val="Footnote Text Char"/>
    <w:basedOn w:val="DefaultParagraphFont"/>
    <w:link w:val="FootnoteText"/>
    <w:uiPriority w:val="99"/>
    <w:rsid w:val="00850FEA"/>
  </w:style>
  <w:style w:type="character" w:styleId="FootnoteReference">
    <w:name w:val="footnote reference"/>
    <w:basedOn w:val="DefaultParagraphFont"/>
    <w:uiPriority w:val="99"/>
    <w:unhideWhenUsed/>
    <w:rsid w:val="00850F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20142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608</Words>
  <Characters>3471</Characters>
  <Application>Microsoft Office Word</Application>
  <DocSecurity>0</DocSecurity>
  <Lines>28</Lines>
  <Paragraphs>8</Paragraphs>
  <ScaleCrop>false</ScaleCrop>
  <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Heavner</dc:creator>
  <cp:keywords/>
  <dc:description/>
  <cp:lastModifiedBy>Laura Wang</cp:lastModifiedBy>
  <cp:revision>2</cp:revision>
  <dcterms:created xsi:type="dcterms:W3CDTF">2017-10-31T02:23:00Z</dcterms:created>
  <dcterms:modified xsi:type="dcterms:W3CDTF">2017-10-31T02:23:00Z</dcterms:modified>
</cp:coreProperties>
</file>