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92FE77" w14:textId="77777777" w:rsidR="008A5438" w:rsidRPr="004F195C" w:rsidRDefault="008A5438" w:rsidP="008A5438">
      <w:pPr>
        <w:pStyle w:val="Title"/>
        <w:rPr>
          <w:sz w:val="48"/>
          <w:szCs w:val="48"/>
        </w:rPr>
      </w:pPr>
      <w:r w:rsidRPr="00CD3445">
        <w:rPr>
          <w:sz w:val="48"/>
          <w:szCs w:val="48"/>
        </w:rPr>
        <w:t>Item 14: Non-Capacity Related Reliability</w:t>
      </w:r>
    </w:p>
    <w:p w14:paraId="17391A03" w14:textId="6FF7B216" w:rsidR="008A5438" w:rsidRDefault="009061A2" w:rsidP="008A5438">
      <w:pPr>
        <w:pStyle w:val="Subtitle"/>
        <w:spacing w:after="0"/>
      </w:pPr>
      <w:r>
        <w:t>Joint IOUs’ Response to SEIA</w:t>
      </w:r>
      <w:r w:rsidR="00A02698">
        <w:t xml:space="preserve"> Proposal</w:t>
      </w:r>
      <w:r w:rsidR="008A5438">
        <w:t xml:space="preserve"> </w:t>
      </w:r>
    </w:p>
    <w:p w14:paraId="04A7A575" w14:textId="77777777" w:rsidR="008A5438" w:rsidRDefault="008A5438" w:rsidP="008A5438">
      <w:pPr>
        <w:pStyle w:val="Subtitle"/>
        <w:spacing w:after="0"/>
      </w:pPr>
      <w:r>
        <w:t>LNBA Working Group</w:t>
      </w:r>
    </w:p>
    <w:p w14:paraId="2E832E1B" w14:textId="77777777" w:rsidR="008A5438" w:rsidRDefault="008A5438" w:rsidP="008A5438"/>
    <w:p w14:paraId="798C88EA" w14:textId="18FF1E99" w:rsidR="008A5438" w:rsidRDefault="00AF537D" w:rsidP="008A5438">
      <w:pPr>
        <w:pStyle w:val="Heading1"/>
        <w:spacing w:before="0"/>
      </w:pPr>
      <w:r>
        <w:t>General</w:t>
      </w:r>
      <w:r w:rsidR="008A5438">
        <w:t xml:space="preserve"> Response</w:t>
      </w:r>
    </w:p>
    <w:p w14:paraId="6AA8F89A" w14:textId="00B6C50C" w:rsidR="00616DFD" w:rsidRDefault="00F61372" w:rsidP="008A5438">
      <w:r>
        <w:t xml:space="preserve">SEIA’s proposal </w:t>
      </w:r>
      <w:r w:rsidR="00446378">
        <w:t>implies</w:t>
      </w:r>
      <w:r>
        <w:t xml:space="preserve"> that back-up generation</w:t>
      </w:r>
      <w:r w:rsidR="0012303E">
        <w:t xml:space="preserve"> installed</w:t>
      </w:r>
      <w:r>
        <w:t xml:space="preserve"> behind a</w:t>
      </w:r>
      <w:r w:rsidR="00EE383D">
        <w:t xml:space="preserve"> customer meter could</w:t>
      </w:r>
      <w:r>
        <w:t xml:space="preserve"> </w:t>
      </w:r>
      <w:r w:rsidR="00446378">
        <w:t xml:space="preserve">avoid </w:t>
      </w:r>
      <w:r>
        <w:t xml:space="preserve">the need for </w:t>
      </w:r>
      <w:r w:rsidR="00446378">
        <w:t>grid modernization investments</w:t>
      </w:r>
      <w:r w:rsidR="002A2A7E">
        <w:t>.</w:t>
      </w:r>
      <w:r w:rsidR="00143025">
        <w:t xml:space="preserve"> </w:t>
      </w:r>
      <w:r w:rsidR="002A2A7E">
        <w:t>S</w:t>
      </w:r>
      <w:r w:rsidR="00143025">
        <w:t>pecifically</w:t>
      </w:r>
      <w:r w:rsidR="002A2A7E">
        <w:t>,</w:t>
      </w:r>
      <w:r w:rsidR="00143025">
        <w:t xml:space="preserve"> investments that detect electrical faults on the grid, and enable</w:t>
      </w:r>
      <w:r w:rsidR="00FD5582">
        <w:t xml:space="preserve"> IOUs </w:t>
      </w:r>
      <w:r w:rsidR="00143025">
        <w:t>to isolate and de-energize the faulted circuit section while maintaining service to as many customers as possible by reconfiguring the system to energize intact sections through alternate pathways</w:t>
      </w:r>
      <w:r w:rsidR="002A2A7E">
        <w:t xml:space="preserve"> would still be necessary</w:t>
      </w:r>
      <w:r>
        <w:t>.</w:t>
      </w:r>
      <w:r w:rsidR="00EE383D">
        <w:t xml:space="preserve"> </w:t>
      </w:r>
      <w:r w:rsidR="00C74143">
        <w:t xml:space="preserve"> </w:t>
      </w:r>
      <w:r w:rsidR="00616DFD">
        <w:t>These investments include equipment required to</w:t>
      </w:r>
      <w:r w:rsidR="00446378">
        <w:t xml:space="preserve"> </w:t>
      </w:r>
      <w:r w:rsidR="00616DFD">
        <w:t xml:space="preserve">maintain </w:t>
      </w:r>
      <w:r w:rsidR="00446378">
        <w:t xml:space="preserve">electric grid </w:t>
      </w:r>
      <w:r w:rsidR="00616DFD">
        <w:t>safe</w:t>
      </w:r>
      <w:r w:rsidR="00446378">
        <w:t>ty</w:t>
      </w:r>
      <w:r w:rsidR="00616DFD">
        <w:t xml:space="preserve"> </w:t>
      </w:r>
      <w:r w:rsidR="00446378">
        <w:t>and reliability through</w:t>
      </w:r>
      <w:r w:rsidR="00616DFD">
        <w:t xml:space="preserve"> </w:t>
      </w:r>
      <w:r w:rsidR="00446378">
        <w:t xml:space="preserve">increased situational awareness and </w:t>
      </w:r>
      <w:r w:rsidR="00616DFD">
        <w:t xml:space="preserve">operational flexibility. </w:t>
      </w:r>
    </w:p>
    <w:p w14:paraId="5C86293D" w14:textId="2EE0BFEB" w:rsidR="0088112B" w:rsidRDefault="00E65EC7" w:rsidP="008A5438">
      <w:r>
        <w:t>Customers choosing to invest in sufficient backup generation c</w:t>
      </w:r>
      <w:r w:rsidR="00EE383D">
        <w:t xml:space="preserve">ould potentially disconnect their </w:t>
      </w:r>
      <w:r w:rsidR="00C74143">
        <w:t xml:space="preserve">facilities </w:t>
      </w:r>
      <w:r w:rsidR="00EE383D">
        <w:t xml:space="preserve">from the grid </w:t>
      </w:r>
      <w:r w:rsidR="00180DD7">
        <w:t xml:space="preserve">during an outage </w:t>
      </w:r>
      <w:r w:rsidR="00EE383D">
        <w:t>and serve their local load</w:t>
      </w:r>
      <w:r w:rsidR="00C74143">
        <w:t>s</w:t>
      </w:r>
      <w:r w:rsidR="00EE383D">
        <w:t xml:space="preserve"> at </w:t>
      </w:r>
      <w:r w:rsidR="00C74143">
        <w:t xml:space="preserve">those </w:t>
      </w:r>
      <w:r w:rsidR="00EE383D">
        <w:t>specific location</w:t>
      </w:r>
      <w:r w:rsidR="00180DD7">
        <w:t>s</w:t>
      </w:r>
      <w:r w:rsidR="00EE383D">
        <w:t xml:space="preserve">. </w:t>
      </w:r>
      <w:r w:rsidR="00C74143">
        <w:t xml:space="preserve"> </w:t>
      </w:r>
      <w:r w:rsidR="00EE383D">
        <w:t xml:space="preserve">However, this </w:t>
      </w:r>
      <w:r>
        <w:t>would</w:t>
      </w:r>
      <w:r w:rsidR="00BE733B">
        <w:t xml:space="preserve"> not eliminate the need for switches, fault indicators, and protection equipment that ensure the safe operation of the electric system</w:t>
      </w:r>
      <w:r w:rsidR="00E657E7">
        <w:t>,</w:t>
      </w:r>
      <w:r w:rsidR="00BE733B">
        <w:t xml:space="preserve"> and </w:t>
      </w:r>
      <w:r w:rsidR="00E657E7">
        <w:t xml:space="preserve">provide situational awareness and </w:t>
      </w:r>
      <w:r w:rsidR="00BE733B">
        <w:t xml:space="preserve">operational flexibility. </w:t>
      </w:r>
      <w:r w:rsidR="00C74143">
        <w:t xml:space="preserve"> Grid modernization </w:t>
      </w:r>
      <w:r w:rsidR="00BE733B">
        <w:t xml:space="preserve">equipment provides the ability to transfer </w:t>
      </w:r>
      <w:r w:rsidR="00C74143">
        <w:t xml:space="preserve">entire sections of circuits (i.e., several hundred customers) </w:t>
      </w:r>
      <w:r w:rsidR="00BE733B">
        <w:t>between neighboring circuits in the event of an outage</w:t>
      </w:r>
      <w:r w:rsidR="00C74143">
        <w:t>,</w:t>
      </w:r>
      <w:r w:rsidR="00BE733B">
        <w:t xml:space="preserve"> </w:t>
      </w:r>
      <w:r w:rsidR="00C74143">
        <w:t>allowing these</w:t>
      </w:r>
      <w:r w:rsidR="00BE733B">
        <w:t xml:space="preserve"> customers </w:t>
      </w:r>
      <w:r w:rsidR="00C74143">
        <w:t>to remain</w:t>
      </w:r>
      <w:r w:rsidR="00BE733B">
        <w:t xml:space="preserve"> energized. </w:t>
      </w:r>
      <w:r w:rsidR="00C74143">
        <w:t xml:space="preserve"> These reliability benefits are provided irrespective of the number of custom</w:t>
      </w:r>
      <w:r w:rsidR="0005772E">
        <w:t>ers who purchase their own back</w:t>
      </w:r>
      <w:r w:rsidR="00C74143">
        <w:t xml:space="preserve">up generation. </w:t>
      </w:r>
      <w:r w:rsidR="00EB06D8">
        <w:t xml:space="preserve"> </w:t>
      </w:r>
    </w:p>
    <w:p w14:paraId="3B866A5C" w14:textId="476A1664" w:rsidR="00C74143" w:rsidRDefault="00995ADC" w:rsidP="008A5438">
      <w:r>
        <w:t>To avoid these</w:t>
      </w:r>
      <w:r w:rsidR="00C74143">
        <w:t xml:space="preserve"> grid modernization investments</w:t>
      </w:r>
      <w:r>
        <w:t>,</w:t>
      </w:r>
      <w:r w:rsidR="00C74143">
        <w:t xml:space="preserve"> each customer </w:t>
      </w:r>
      <w:r>
        <w:t xml:space="preserve">would need </w:t>
      </w:r>
      <w:r w:rsidR="00C74143">
        <w:t>to purchase their own backup generation.</w:t>
      </w:r>
      <w:r w:rsidR="00474208">
        <w:t xml:space="preserve"> Even then, certain grid modernization investments would still be required for situational awareness purposes</w:t>
      </w:r>
      <w:r w:rsidR="00F265CD">
        <w:t xml:space="preserve"> to identify faults and to restore service</w:t>
      </w:r>
      <w:r w:rsidR="00474208">
        <w:t>.</w:t>
      </w:r>
      <w:r w:rsidR="0088112B">
        <w:t xml:space="preserve">  This would be necessary to allow c</w:t>
      </w:r>
      <w:r w:rsidR="006E59FA">
        <w:t>ustomers to come off their back</w:t>
      </w:r>
      <w:r w:rsidR="0088112B">
        <w:t xml:space="preserve">up generation—unless </w:t>
      </w:r>
      <w:r w:rsidR="006E59FA">
        <w:t>it</w:t>
      </w:r>
      <w:r w:rsidR="0088112B">
        <w:t xml:space="preserve"> is sized to support customers’ ability to separate from the electric grid indefinitely.  </w:t>
      </w:r>
      <w:r w:rsidR="006E59FA">
        <w:t>However, t</w:t>
      </w:r>
      <w:r w:rsidR="0088112B">
        <w:t>his would require substantially oversizing the backup generation, which i</w:t>
      </w:r>
      <w:r w:rsidR="00697A25">
        <w:t>s</w:t>
      </w:r>
      <w:r w:rsidR="0088112B">
        <w:t xml:space="preserve"> not possible for many customers, particularly those in multi-family dwellings. Indeed, these customers </w:t>
      </w:r>
      <w:r w:rsidR="00CE507B">
        <w:t xml:space="preserve">would likely find it difficult to site any backup generation. </w:t>
      </w:r>
      <w:r w:rsidR="00346633">
        <w:t>This</w:t>
      </w:r>
      <w:r w:rsidR="006E59FA">
        <w:t xml:space="preserve"> approach would therefore penalize customers unable to install backup generation, either due to physical constraints or financial </w:t>
      </w:r>
      <w:r w:rsidR="00346633">
        <w:t>limitations</w:t>
      </w:r>
      <w:r w:rsidR="006E59FA">
        <w:t xml:space="preserve">. </w:t>
      </w:r>
    </w:p>
    <w:p w14:paraId="423AE78B" w14:textId="4D9A4A1D" w:rsidR="008A5438" w:rsidRDefault="001A5BD3" w:rsidP="008A5438">
      <w:r>
        <w:t xml:space="preserve">SEIA’s proposal </w:t>
      </w:r>
      <w:r w:rsidR="00C74143">
        <w:t>also</w:t>
      </w:r>
      <w:r>
        <w:t xml:space="preserve"> </w:t>
      </w:r>
      <w:r w:rsidR="00C74143">
        <w:t xml:space="preserve">suggests </w:t>
      </w:r>
      <w:r>
        <w:t xml:space="preserve">that DERs can provide </w:t>
      </w:r>
      <w:r w:rsidR="00C31C86">
        <w:t>additional reliability benefits, including detecting faults on the grid, locating faults on the grid, and sectionalizing circuits to minimize the impacts of faults.</w:t>
      </w:r>
      <w:r w:rsidR="00C31C86">
        <w:rPr>
          <w:rStyle w:val="FootnoteReference"/>
        </w:rPr>
        <w:footnoteReference w:id="2"/>
      </w:r>
      <w:r w:rsidR="00C31C86">
        <w:t xml:space="preserve"> A</w:t>
      </w:r>
      <w:r w:rsidR="00F61372">
        <w:t xml:space="preserve">s stated in the joint IOUs response to </w:t>
      </w:r>
      <w:r w:rsidR="00EE383D">
        <w:t xml:space="preserve">the </w:t>
      </w:r>
      <w:r w:rsidR="00F61372">
        <w:t>SEIA and Tesla proposal related to situational awareness</w:t>
      </w:r>
      <w:r w:rsidR="00EE383D">
        <w:rPr>
          <w:rStyle w:val="FootnoteReference"/>
        </w:rPr>
        <w:footnoteReference w:id="3"/>
      </w:r>
      <w:r>
        <w:t xml:space="preserve">, </w:t>
      </w:r>
      <w:r w:rsidR="00EE383D">
        <w:t>DER</w:t>
      </w:r>
      <w:r w:rsidR="00C31C86">
        <w:t xml:space="preserve"> capabilities are insufficient for providing </w:t>
      </w:r>
      <w:r w:rsidR="00EE383D">
        <w:t>the</w:t>
      </w:r>
      <w:r>
        <w:t>se essential grid services.</w:t>
      </w:r>
      <w:r w:rsidR="00893153">
        <w:t xml:space="preserve"> </w:t>
      </w:r>
    </w:p>
    <w:p w14:paraId="297CACE5" w14:textId="74D17F3D" w:rsidR="00FD5582" w:rsidRDefault="00FD5582" w:rsidP="008A5438">
      <w:r>
        <w:t xml:space="preserve">The IOUs’ approaches to grid modernization </w:t>
      </w:r>
      <w:r w:rsidR="00820D4B">
        <w:t>would be more cost effective than installing back-up generation at every location</w:t>
      </w:r>
      <w:r w:rsidR="00E3722E">
        <w:t xml:space="preserve">, and preserves individual customers’ ability to choose whether or not to </w:t>
      </w:r>
      <w:r w:rsidR="000143A6">
        <w:t>invest in backup generation.</w:t>
      </w:r>
    </w:p>
    <w:p w14:paraId="68D1A326" w14:textId="3BC65B2A" w:rsidR="008A5438" w:rsidRDefault="00E71BD0" w:rsidP="00956352">
      <w:pPr>
        <w:pStyle w:val="Heading1"/>
      </w:pPr>
      <w:r>
        <w:lastRenderedPageBreak/>
        <w:t>Back-Up Generation vs. Operational Flexibility</w:t>
      </w:r>
    </w:p>
    <w:p w14:paraId="4F4313F5" w14:textId="0C340F20" w:rsidR="0061461C" w:rsidRDefault="00660811" w:rsidP="00E71BD0">
      <w:r>
        <w:t xml:space="preserve">SEIA’s proposal that back-up generation can replace equipment that enables operational flexibility </w:t>
      </w:r>
      <w:r w:rsidR="00BE4B4B">
        <w:t xml:space="preserve">must consider cost effectiveness and customer choice. </w:t>
      </w:r>
      <w:r w:rsidR="00997B1B">
        <w:t>The IOU</w:t>
      </w:r>
      <w:r w:rsidR="0061461C">
        <w:t>s want to enable customers</w:t>
      </w:r>
      <w:r w:rsidR="00997B1B">
        <w:t xml:space="preserve"> to choose how they receive electrical power </w:t>
      </w:r>
      <w:r w:rsidR="00FE7B50">
        <w:t>such as</w:t>
      </w:r>
      <w:r w:rsidR="00997B1B">
        <w:t xml:space="preserve"> back-up generation at their location.</w:t>
      </w:r>
      <w:r w:rsidR="0061461C">
        <w:t xml:space="preserve"> SEIA states in their proposal that C&amp;I customers may have higher interruption costs compar</w:t>
      </w:r>
      <w:r w:rsidR="007B4D29">
        <w:t>ed</w:t>
      </w:r>
      <w:r w:rsidR="0061461C">
        <w:t xml:space="preserve"> to residential customers. This is a perfect example of </w:t>
      </w:r>
      <w:r w:rsidR="000C5AED">
        <w:t>a subset of</w:t>
      </w:r>
      <w:r w:rsidR="0061461C">
        <w:t xml:space="preserve"> customers </w:t>
      </w:r>
      <w:r w:rsidR="00A25836">
        <w:t>that are</w:t>
      </w:r>
      <w:r w:rsidR="0061461C">
        <w:t xml:space="preserve"> more willing to pay for these back-up services </w:t>
      </w:r>
      <w:r w:rsidR="00A25836">
        <w:t xml:space="preserve">while </w:t>
      </w:r>
      <w:r w:rsidR="006208DE">
        <w:t>others may not believe it</w:t>
      </w:r>
      <w:r w:rsidR="000C5AED">
        <w:t>’</w:t>
      </w:r>
      <w:r w:rsidR="006208DE">
        <w:t>s worth</w:t>
      </w:r>
      <w:r w:rsidR="0061461C">
        <w:t xml:space="preserve"> it.</w:t>
      </w:r>
      <w:r w:rsidR="00997B1B">
        <w:t xml:space="preserve"> </w:t>
      </w:r>
    </w:p>
    <w:p w14:paraId="10D228A8" w14:textId="30318597" w:rsidR="00956352" w:rsidRDefault="00997B1B" w:rsidP="00956352">
      <w:r>
        <w:t xml:space="preserve">If a switch was </w:t>
      </w:r>
      <w:r w:rsidR="00E433D1">
        <w:t>avoided</w:t>
      </w:r>
      <w:r>
        <w:t xml:space="preserve"> due to a back-up generation option,</w:t>
      </w:r>
      <w:r w:rsidR="00E433D1">
        <w:t xml:space="preserve"> in order to provide the same service,</w:t>
      </w:r>
      <w:r>
        <w:t xml:space="preserve"> all customers that could have been transferred due to that switch would require back up generation at their specific </w:t>
      </w:r>
      <w:r w:rsidR="00E433D1">
        <w:t>locations</w:t>
      </w:r>
      <w:r>
        <w:t xml:space="preserve">. </w:t>
      </w:r>
      <w:r w:rsidR="0061461C">
        <w:t xml:space="preserve">For example, one switch installation can </w:t>
      </w:r>
      <w:r w:rsidR="00AF537D">
        <w:t xml:space="preserve">typically </w:t>
      </w:r>
      <w:r w:rsidR="0061461C">
        <w:t xml:space="preserve">enable the transfer of </w:t>
      </w:r>
      <w:r w:rsidR="00AF537D">
        <w:t>a large number, say</w:t>
      </w:r>
      <w:r w:rsidR="0061461C">
        <w:t xml:space="preserve"> 200 customers</w:t>
      </w:r>
      <w:r w:rsidR="00AF537D">
        <w:t>,</w:t>
      </w:r>
      <w:r w:rsidR="0061461C">
        <w:t xml:space="preserve"> to a neighboring circuit in the event of an outage. In order to provide the same service as that switch, all 200 customers would require back-up generation. In addition, a small portion of those customers could be C&amp;I while the vast majority is residential. Most likely </w:t>
      </w:r>
      <w:r w:rsidR="00BA63D2">
        <w:t xml:space="preserve">there will be differing customer </w:t>
      </w:r>
      <w:r w:rsidR="00EA01B7">
        <w:t xml:space="preserve">desires and abilities to </w:t>
      </w:r>
      <w:r w:rsidR="00BA63D2">
        <w:t>instal</w:t>
      </w:r>
      <w:r w:rsidR="00EA01B7">
        <w:t>l</w:t>
      </w:r>
      <w:r w:rsidR="00BA63D2">
        <w:t xml:space="preserve"> back-up generation at their location both</w:t>
      </w:r>
      <w:r w:rsidR="00441474">
        <w:t xml:space="preserve"> related to equipment and cost especially when comparing the cost of a switch </w:t>
      </w:r>
      <w:r w:rsidR="00F77271">
        <w:t>versus</w:t>
      </w:r>
      <w:r w:rsidR="00441474">
        <w:t xml:space="preserve"> 200 back-up generation installations of varying sizes. </w:t>
      </w:r>
    </w:p>
    <w:p w14:paraId="696E619D" w14:textId="3C23E194" w:rsidR="00956352" w:rsidRDefault="005079D5" w:rsidP="00956352">
      <w:pPr>
        <w:pStyle w:val="Heading1"/>
      </w:pPr>
      <w:r>
        <w:t>Reliability Investment Locations</w:t>
      </w:r>
    </w:p>
    <w:p w14:paraId="00355E31" w14:textId="240B329C" w:rsidR="00EA01B7" w:rsidRDefault="00E36E57">
      <w:r>
        <w:t>SEIA states that “</w:t>
      </w:r>
      <w:r w:rsidRPr="00E36E57">
        <w:t>However, while the benefits of improved reliability are disproportionately realized by a relatively small number of customers, utility investments in Fault Location and Service Restoration, automated switching, and other distribution automation investments are socialized.  At the same time, these investments are unlikely to be made in areas with low population density, but likely high risk for outages; this is a situation which could be aptly addressed by DERs either within a microgrid or as stand</w:t>
      </w:r>
      <w:r w:rsidR="00EA01B7">
        <w:t>-</w:t>
      </w:r>
      <w:r w:rsidRPr="00E36E57">
        <w:t>alone resources</w:t>
      </w:r>
      <w:r>
        <w:t>.”</w:t>
      </w:r>
      <w:r>
        <w:rPr>
          <w:rStyle w:val="FootnoteReference"/>
        </w:rPr>
        <w:footnoteReference w:id="4"/>
      </w:r>
      <w:r>
        <w:t xml:space="preserve"> </w:t>
      </w:r>
    </w:p>
    <w:p w14:paraId="022F6C85" w14:textId="7FA78B1E" w:rsidR="00EA01B7" w:rsidRDefault="00E36E57">
      <w:r>
        <w:t xml:space="preserve">SEIA makes </w:t>
      </w:r>
      <w:r w:rsidR="00EA01B7">
        <w:t xml:space="preserve">the assumption that, since a certain subset of customers place higher value on reliability, </w:t>
      </w:r>
      <w:r w:rsidR="00192E22">
        <w:t>those customers are the primary beneficiary from socialized investments in</w:t>
      </w:r>
      <w:r w:rsidR="00EA01B7">
        <w:t xml:space="preserve"> reliability.</w:t>
      </w:r>
      <w:r w:rsidR="00192E22">
        <w:rPr>
          <w:rStyle w:val="FootnoteReference"/>
        </w:rPr>
        <w:footnoteReference w:id="5"/>
      </w:r>
      <w:r w:rsidR="00EA01B7">
        <w:t xml:space="preserve"> </w:t>
      </w:r>
      <w:r w:rsidR="004E5CC6">
        <w:t>T</w:t>
      </w:r>
      <w:r w:rsidR="00460BCD">
        <w:t>his is precisely the skewed result that would occur if faulty assumptions of DERs’ ability to avoid any reliability investment give rise to some incremental incentive that is paid by IOU customers generally and given to individual customers for investing in their own reliability.</w:t>
      </w:r>
    </w:p>
    <w:p w14:paraId="32B4037C" w14:textId="614CE987" w:rsidR="00956352" w:rsidRDefault="00EA01B7">
      <w:r>
        <w:t xml:space="preserve">In reality, </w:t>
      </w:r>
      <w:r w:rsidR="00AE4264">
        <w:t xml:space="preserve">IOUs gather detailed reliability data to display areas that would benefit from these types of investments. </w:t>
      </w:r>
      <w:r w:rsidR="000A7604">
        <w:t xml:space="preserve">SEIA also claims, without basis, that utilities are unlikely to invest in areas at high risk for outages, but with low population density. </w:t>
      </w:r>
      <w:r w:rsidR="00AE4264">
        <w:t xml:space="preserve"> </w:t>
      </w:r>
      <w:r w:rsidR="000A7604">
        <w:t>This</w:t>
      </w:r>
      <w:r w:rsidR="00AE4264">
        <w:t xml:space="preserve"> is not accurate. If an area displays the need for reliability investments, detailed engineering analysis is performed in order to understand how reliability can be increased</w:t>
      </w:r>
      <w:r w:rsidR="008F4C0E">
        <w:t>, including consideration of a microgrid solution</w:t>
      </w:r>
      <w:r w:rsidR="00AE4264">
        <w:t>. In add</w:t>
      </w:r>
      <w:r w:rsidR="00D33369">
        <w:t>ition, the outage risk of any region</w:t>
      </w:r>
      <w:r w:rsidR="00AE4264">
        <w:t xml:space="preserve"> depends on many factors</w:t>
      </w:r>
      <w:r w:rsidR="000A7604">
        <w:t>, including</w:t>
      </w:r>
      <w:r w:rsidR="00AE4264">
        <w:t xml:space="preserve"> population </w:t>
      </w:r>
      <w:r w:rsidR="00D33369">
        <w:t>density</w:t>
      </w:r>
      <w:r w:rsidR="0077076F">
        <w:t>,</w:t>
      </w:r>
      <w:r w:rsidR="00AE4264">
        <w:t xml:space="preserve"> weather, equipment location, equipment age, </w:t>
      </w:r>
      <w:r w:rsidR="00AE4264">
        <w:lastRenderedPageBreak/>
        <w:t xml:space="preserve">animal population, and </w:t>
      </w:r>
      <w:r w:rsidR="00D33369">
        <w:t xml:space="preserve">amount of sectionalizing equipment/fault indicators all play a part in how high risk an area is to experience outages. </w:t>
      </w:r>
    </w:p>
    <w:sectPr w:rsidR="0095635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98B90F" w14:textId="77777777" w:rsidR="00305137" w:rsidRDefault="00305137" w:rsidP="00EE383D">
      <w:pPr>
        <w:spacing w:after="0" w:line="240" w:lineRule="auto"/>
      </w:pPr>
      <w:r>
        <w:separator/>
      </w:r>
    </w:p>
  </w:endnote>
  <w:endnote w:type="continuationSeparator" w:id="0">
    <w:p w14:paraId="167F8851" w14:textId="77777777" w:rsidR="00305137" w:rsidRDefault="00305137" w:rsidP="00EE383D">
      <w:pPr>
        <w:spacing w:after="0" w:line="240" w:lineRule="auto"/>
      </w:pPr>
      <w:r>
        <w:continuationSeparator/>
      </w:r>
    </w:p>
  </w:endnote>
  <w:endnote w:type="continuationNotice" w:id="1">
    <w:p w14:paraId="6CD09218" w14:textId="77777777" w:rsidR="00305137" w:rsidRDefault="003051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603F6B" w14:textId="77777777" w:rsidR="00530582" w:rsidRDefault="005305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6363669"/>
      <w:docPartObj>
        <w:docPartGallery w:val="Page Numbers (Bottom of Page)"/>
        <w:docPartUnique/>
      </w:docPartObj>
    </w:sdtPr>
    <w:sdtEndPr>
      <w:rPr>
        <w:noProof/>
      </w:rPr>
    </w:sdtEndPr>
    <w:sdtContent>
      <w:p w14:paraId="19132981" w14:textId="225F9E3D" w:rsidR="00530582" w:rsidRDefault="00530582">
        <w:pPr>
          <w:pStyle w:val="Footer"/>
          <w:jc w:val="right"/>
        </w:pPr>
        <w:r>
          <w:fldChar w:fldCharType="begin"/>
        </w:r>
        <w:r>
          <w:instrText xml:space="preserve"> PAGE   \* MERGEFORMAT </w:instrText>
        </w:r>
        <w:r>
          <w:fldChar w:fldCharType="separate"/>
        </w:r>
        <w:r w:rsidR="006E18B9">
          <w:rPr>
            <w:noProof/>
          </w:rPr>
          <w:t>1</w:t>
        </w:r>
        <w:r>
          <w:rPr>
            <w:noProof/>
          </w:rPr>
          <w:fldChar w:fldCharType="end"/>
        </w:r>
      </w:p>
    </w:sdtContent>
  </w:sdt>
  <w:p w14:paraId="60C291CE" w14:textId="77777777" w:rsidR="00530582" w:rsidRDefault="0053058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79D0E8" w14:textId="77777777" w:rsidR="00530582" w:rsidRDefault="005305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782A91" w14:textId="77777777" w:rsidR="00305137" w:rsidRDefault="00305137" w:rsidP="00EE383D">
      <w:pPr>
        <w:spacing w:after="0" w:line="240" w:lineRule="auto"/>
      </w:pPr>
      <w:r>
        <w:separator/>
      </w:r>
    </w:p>
  </w:footnote>
  <w:footnote w:type="continuationSeparator" w:id="0">
    <w:p w14:paraId="76DB7074" w14:textId="77777777" w:rsidR="00305137" w:rsidRDefault="00305137" w:rsidP="00EE383D">
      <w:pPr>
        <w:spacing w:after="0" w:line="240" w:lineRule="auto"/>
      </w:pPr>
      <w:r>
        <w:continuationSeparator/>
      </w:r>
    </w:p>
  </w:footnote>
  <w:footnote w:type="continuationNotice" w:id="1">
    <w:p w14:paraId="59716552" w14:textId="77777777" w:rsidR="00305137" w:rsidRDefault="00305137">
      <w:pPr>
        <w:spacing w:after="0" w:line="240" w:lineRule="auto"/>
      </w:pPr>
    </w:p>
  </w:footnote>
  <w:footnote w:id="2">
    <w:p w14:paraId="2702E520" w14:textId="71B8A8DE" w:rsidR="00305137" w:rsidRDefault="00305137">
      <w:pPr>
        <w:pStyle w:val="FootnoteText"/>
      </w:pPr>
      <w:r>
        <w:rPr>
          <w:rStyle w:val="FootnoteReference"/>
        </w:rPr>
        <w:footnoteRef/>
      </w:r>
      <w:r>
        <w:t xml:space="preserve"> Item 14: Benefits of increased reliability (non-capacity related), SEIA Initial Proposal, page 3</w:t>
      </w:r>
    </w:p>
  </w:footnote>
  <w:footnote w:id="3">
    <w:p w14:paraId="702F3848" w14:textId="06BB83F5" w:rsidR="00305137" w:rsidRDefault="00305137">
      <w:pPr>
        <w:pStyle w:val="FootnoteText"/>
      </w:pPr>
      <w:r>
        <w:rPr>
          <w:rStyle w:val="FootnoteReference"/>
        </w:rPr>
        <w:footnoteRef/>
      </w:r>
      <w:r>
        <w:t xml:space="preserve"> Item 13: Data/Situational Awareness Joint IOUs’ Response to SEIA Proposal LNBA Working Group</w:t>
      </w:r>
    </w:p>
  </w:footnote>
  <w:footnote w:id="4">
    <w:p w14:paraId="36628059" w14:textId="65D880A6" w:rsidR="00305137" w:rsidRDefault="00305137">
      <w:pPr>
        <w:pStyle w:val="FootnoteText"/>
      </w:pPr>
      <w:r>
        <w:rPr>
          <w:rStyle w:val="FootnoteReference"/>
        </w:rPr>
        <w:footnoteRef/>
      </w:r>
      <w:r>
        <w:t xml:space="preserve"> Item 14: Benefits of Increased reliability (non-capacity related) SEIA Initial Proposal p. 2</w:t>
      </w:r>
    </w:p>
  </w:footnote>
  <w:footnote w:id="5">
    <w:p w14:paraId="4FD5041D" w14:textId="4FF29667" w:rsidR="00305137" w:rsidRDefault="00305137">
      <w:pPr>
        <w:pStyle w:val="FootnoteText"/>
      </w:pPr>
      <w:r>
        <w:rPr>
          <w:rStyle w:val="FootnoteReference"/>
        </w:rPr>
        <w:footnoteRef/>
      </w:r>
      <w:r>
        <w:t xml:space="preserve"> “…some customers (such as large C&amp;I customers manufacturing goods) having much higher interruption costs… while the benefits of improved reliability are disproportionately realized by a relatively small number of customers, utility investments in [reliability] are socialized.” Item 14: Benefits of increased reliability (non-capacity related), SEIA Initial Proposal, page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B272C0" w14:textId="77777777" w:rsidR="00530582" w:rsidRDefault="005305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917B77" w14:textId="77777777" w:rsidR="00530582" w:rsidRDefault="00530582">
    <w:pPr>
      <w:pStyle w:val="Header"/>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C1C0C5" w14:textId="77777777" w:rsidR="00530582" w:rsidRDefault="005305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D41EAF"/>
    <w:multiLevelType w:val="hybridMultilevel"/>
    <w:tmpl w:val="A5F2D02E"/>
    <w:lvl w:ilvl="0" w:tplc="49466D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3FE"/>
    <w:rsid w:val="000143A6"/>
    <w:rsid w:val="0005772E"/>
    <w:rsid w:val="000A7604"/>
    <w:rsid w:val="000C5AED"/>
    <w:rsid w:val="000D6F4C"/>
    <w:rsid w:val="0012303E"/>
    <w:rsid w:val="0012576F"/>
    <w:rsid w:val="00143025"/>
    <w:rsid w:val="00152FB9"/>
    <w:rsid w:val="00180DD7"/>
    <w:rsid w:val="00190205"/>
    <w:rsid w:val="00192E22"/>
    <w:rsid w:val="001A5BD3"/>
    <w:rsid w:val="001A7839"/>
    <w:rsid w:val="001B04D8"/>
    <w:rsid w:val="001F5709"/>
    <w:rsid w:val="00222FAF"/>
    <w:rsid w:val="00223758"/>
    <w:rsid w:val="00225159"/>
    <w:rsid w:val="00234B5E"/>
    <w:rsid w:val="00236A01"/>
    <w:rsid w:val="002600D5"/>
    <w:rsid w:val="00276BE5"/>
    <w:rsid w:val="0028029D"/>
    <w:rsid w:val="002A2A7E"/>
    <w:rsid w:val="002B30C3"/>
    <w:rsid w:val="002B650E"/>
    <w:rsid w:val="002C23C2"/>
    <w:rsid w:val="002C7E48"/>
    <w:rsid w:val="002E7DB1"/>
    <w:rsid w:val="002F07BA"/>
    <w:rsid w:val="00305137"/>
    <w:rsid w:val="00346633"/>
    <w:rsid w:val="003701AA"/>
    <w:rsid w:val="003A03C3"/>
    <w:rsid w:val="003F005A"/>
    <w:rsid w:val="00427431"/>
    <w:rsid w:val="00441474"/>
    <w:rsid w:val="00446378"/>
    <w:rsid w:val="00460BCD"/>
    <w:rsid w:val="00474208"/>
    <w:rsid w:val="00487A08"/>
    <w:rsid w:val="004C7B45"/>
    <w:rsid w:val="004E5CC6"/>
    <w:rsid w:val="004F75F8"/>
    <w:rsid w:val="005079D5"/>
    <w:rsid w:val="00510DCD"/>
    <w:rsid w:val="00530582"/>
    <w:rsid w:val="00551E7E"/>
    <w:rsid w:val="005A669B"/>
    <w:rsid w:val="005F519E"/>
    <w:rsid w:val="00612B0D"/>
    <w:rsid w:val="0061461C"/>
    <w:rsid w:val="00616DFD"/>
    <w:rsid w:val="006208DE"/>
    <w:rsid w:val="00637679"/>
    <w:rsid w:val="00660811"/>
    <w:rsid w:val="00697A25"/>
    <w:rsid w:val="006E18B9"/>
    <w:rsid w:val="006E59FA"/>
    <w:rsid w:val="00706582"/>
    <w:rsid w:val="007321C0"/>
    <w:rsid w:val="0077076F"/>
    <w:rsid w:val="007B0CBC"/>
    <w:rsid w:val="007B4D29"/>
    <w:rsid w:val="007C1C31"/>
    <w:rsid w:val="007C389F"/>
    <w:rsid w:val="007D7547"/>
    <w:rsid w:val="007F66AA"/>
    <w:rsid w:val="00820D4B"/>
    <w:rsid w:val="008379F0"/>
    <w:rsid w:val="00852F00"/>
    <w:rsid w:val="00855E0E"/>
    <w:rsid w:val="00862549"/>
    <w:rsid w:val="0088112B"/>
    <w:rsid w:val="00886CD0"/>
    <w:rsid w:val="00893153"/>
    <w:rsid w:val="008A5438"/>
    <w:rsid w:val="008C52CC"/>
    <w:rsid w:val="008F4C0E"/>
    <w:rsid w:val="009061A2"/>
    <w:rsid w:val="00925FA1"/>
    <w:rsid w:val="00947250"/>
    <w:rsid w:val="00956352"/>
    <w:rsid w:val="00960F8E"/>
    <w:rsid w:val="00995ADC"/>
    <w:rsid w:val="009962EF"/>
    <w:rsid w:val="00997B1B"/>
    <w:rsid w:val="009A3969"/>
    <w:rsid w:val="009B6423"/>
    <w:rsid w:val="009D60CA"/>
    <w:rsid w:val="009E510F"/>
    <w:rsid w:val="009F3007"/>
    <w:rsid w:val="00A02698"/>
    <w:rsid w:val="00A25836"/>
    <w:rsid w:val="00A6136B"/>
    <w:rsid w:val="00AC1CD9"/>
    <w:rsid w:val="00AE4264"/>
    <w:rsid w:val="00AF537D"/>
    <w:rsid w:val="00B04F49"/>
    <w:rsid w:val="00B32197"/>
    <w:rsid w:val="00B60746"/>
    <w:rsid w:val="00B963FE"/>
    <w:rsid w:val="00BA63D2"/>
    <w:rsid w:val="00BA7CA6"/>
    <w:rsid w:val="00BD0EE5"/>
    <w:rsid w:val="00BD700C"/>
    <w:rsid w:val="00BE4B4B"/>
    <w:rsid w:val="00BE733B"/>
    <w:rsid w:val="00C31C86"/>
    <w:rsid w:val="00C74143"/>
    <w:rsid w:val="00C82411"/>
    <w:rsid w:val="00C97CEA"/>
    <w:rsid w:val="00CC356F"/>
    <w:rsid w:val="00CD2ABD"/>
    <w:rsid w:val="00CE507B"/>
    <w:rsid w:val="00D33369"/>
    <w:rsid w:val="00E259D9"/>
    <w:rsid w:val="00E36E57"/>
    <w:rsid w:val="00E3722E"/>
    <w:rsid w:val="00E433D1"/>
    <w:rsid w:val="00E46ED8"/>
    <w:rsid w:val="00E56554"/>
    <w:rsid w:val="00E634E9"/>
    <w:rsid w:val="00E657E7"/>
    <w:rsid w:val="00E65EC7"/>
    <w:rsid w:val="00E71BD0"/>
    <w:rsid w:val="00EA01B7"/>
    <w:rsid w:val="00EB06D8"/>
    <w:rsid w:val="00EB6271"/>
    <w:rsid w:val="00EC19DC"/>
    <w:rsid w:val="00ED46B5"/>
    <w:rsid w:val="00EE383D"/>
    <w:rsid w:val="00F02975"/>
    <w:rsid w:val="00F265CD"/>
    <w:rsid w:val="00F42F62"/>
    <w:rsid w:val="00F61372"/>
    <w:rsid w:val="00F658FB"/>
    <w:rsid w:val="00F77271"/>
    <w:rsid w:val="00FD5582"/>
    <w:rsid w:val="00FE7B50"/>
    <w:rsid w:val="00FF66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BC035"/>
  <w15:docId w15:val="{189114D8-7654-4F9E-A932-8E22E0D20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5438"/>
  </w:style>
  <w:style w:type="paragraph" w:styleId="Heading1">
    <w:name w:val="heading 1"/>
    <w:basedOn w:val="Normal"/>
    <w:next w:val="Normal"/>
    <w:link w:val="Heading1Char"/>
    <w:uiPriority w:val="9"/>
    <w:qFormat/>
    <w:rsid w:val="008A543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A543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54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543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A5438"/>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8A5438"/>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956352"/>
    <w:pPr>
      <w:ind w:left="720"/>
      <w:contextualSpacing/>
    </w:pPr>
  </w:style>
  <w:style w:type="paragraph" w:styleId="FootnoteText">
    <w:name w:val="footnote text"/>
    <w:basedOn w:val="Normal"/>
    <w:link w:val="FootnoteTextChar"/>
    <w:uiPriority w:val="99"/>
    <w:semiHidden/>
    <w:unhideWhenUsed/>
    <w:rsid w:val="00EE38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383D"/>
    <w:rPr>
      <w:sz w:val="20"/>
      <w:szCs w:val="20"/>
    </w:rPr>
  </w:style>
  <w:style w:type="character" w:styleId="FootnoteReference">
    <w:name w:val="footnote reference"/>
    <w:basedOn w:val="DefaultParagraphFont"/>
    <w:uiPriority w:val="99"/>
    <w:semiHidden/>
    <w:unhideWhenUsed/>
    <w:rsid w:val="00EE383D"/>
    <w:rPr>
      <w:vertAlign w:val="superscript"/>
    </w:rPr>
  </w:style>
  <w:style w:type="paragraph" w:styleId="Header">
    <w:name w:val="header"/>
    <w:basedOn w:val="Normal"/>
    <w:link w:val="HeaderChar"/>
    <w:uiPriority w:val="99"/>
    <w:unhideWhenUsed/>
    <w:rsid w:val="00ED46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46B5"/>
  </w:style>
  <w:style w:type="paragraph" w:styleId="Footer">
    <w:name w:val="footer"/>
    <w:basedOn w:val="Normal"/>
    <w:link w:val="FooterChar"/>
    <w:uiPriority w:val="99"/>
    <w:unhideWhenUsed/>
    <w:rsid w:val="00ED46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46B5"/>
  </w:style>
  <w:style w:type="character" w:styleId="CommentReference">
    <w:name w:val="annotation reference"/>
    <w:basedOn w:val="DefaultParagraphFont"/>
    <w:uiPriority w:val="99"/>
    <w:semiHidden/>
    <w:unhideWhenUsed/>
    <w:rsid w:val="005A669B"/>
    <w:rPr>
      <w:sz w:val="16"/>
      <w:szCs w:val="16"/>
    </w:rPr>
  </w:style>
  <w:style w:type="paragraph" w:styleId="CommentText">
    <w:name w:val="annotation text"/>
    <w:basedOn w:val="Normal"/>
    <w:link w:val="CommentTextChar"/>
    <w:uiPriority w:val="99"/>
    <w:unhideWhenUsed/>
    <w:rsid w:val="005A669B"/>
    <w:pPr>
      <w:spacing w:line="240" w:lineRule="auto"/>
    </w:pPr>
    <w:rPr>
      <w:sz w:val="20"/>
      <w:szCs w:val="20"/>
    </w:rPr>
  </w:style>
  <w:style w:type="character" w:customStyle="1" w:styleId="CommentTextChar">
    <w:name w:val="Comment Text Char"/>
    <w:basedOn w:val="DefaultParagraphFont"/>
    <w:link w:val="CommentText"/>
    <w:uiPriority w:val="99"/>
    <w:rsid w:val="005A669B"/>
    <w:rPr>
      <w:sz w:val="20"/>
      <w:szCs w:val="20"/>
    </w:rPr>
  </w:style>
  <w:style w:type="paragraph" w:styleId="CommentSubject">
    <w:name w:val="annotation subject"/>
    <w:basedOn w:val="CommentText"/>
    <w:next w:val="CommentText"/>
    <w:link w:val="CommentSubjectChar"/>
    <w:uiPriority w:val="99"/>
    <w:semiHidden/>
    <w:unhideWhenUsed/>
    <w:rsid w:val="005A669B"/>
    <w:rPr>
      <w:b/>
      <w:bCs/>
    </w:rPr>
  </w:style>
  <w:style w:type="character" w:customStyle="1" w:styleId="CommentSubjectChar">
    <w:name w:val="Comment Subject Char"/>
    <w:basedOn w:val="CommentTextChar"/>
    <w:link w:val="CommentSubject"/>
    <w:uiPriority w:val="99"/>
    <w:semiHidden/>
    <w:rsid w:val="005A669B"/>
    <w:rPr>
      <w:b/>
      <w:bCs/>
      <w:sz w:val="20"/>
      <w:szCs w:val="20"/>
    </w:rPr>
  </w:style>
  <w:style w:type="paragraph" w:styleId="Revision">
    <w:name w:val="Revision"/>
    <w:hidden/>
    <w:uiPriority w:val="99"/>
    <w:semiHidden/>
    <w:rsid w:val="005A669B"/>
    <w:pPr>
      <w:spacing w:after="0" w:line="240" w:lineRule="auto"/>
    </w:pPr>
  </w:style>
  <w:style w:type="paragraph" w:styleId="BalloonText">
    <w:name w:val="Balloon Text"/>
    <w:basedOn w:val="Normal"/>
    <w:link w:val="BalloonTextChar"/>
    <w:uiPriority w:val="99"/>
    <w:semiHidden/>
    <w:unhideWhenUsed/>
    <w:rsid w:val="005A66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66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BFA9A-62A7-4F69-9ACF-CFC86E741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930</Words>
  <Characters>5305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Maurice Ahyow</dc:creator>
  <cp:keywords/>
  <dc:description/>
  <cp:lastModifiedBy>Steven Coulter</cp:lastModifiedBy>
  <cp:revision>2</cp:revision>
  <dcterms:created xsi:type="dcterms:W3CDTF">2017-10-31T00:44:00Z</dcterms:created>
  <dcterms:modified xsi:type="dcterms:W3CDTF">2017-10-31T00:44:00Z</dcterms:modified>
</cp:coreProperties>
</file>