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65B8EB" w14:textId="77777777" w:rsidR="00E0768F" w:rsidRPr="006B3453" w:rsidRDefault="00E0768F" w:rsidP="00E0768F">
      <w:pPr>
        <w:pStyle w:val="Title"/>
        <w:rPr>
          <w:sz w:val="48"/>
          <w:szCs w:val="48"/>
        </w:rPr>
      </w:pPr>
      <w:r>
        <w:rPr>
          <w:sz w:val="48"/>
          <w:szCs w:val="48"/>
        </w:rPr>
        <w:t>Item 5</w:t>
      </w:r>
      <w:r w:rsidRPr="2D926EEB">
        <w:rPr>
          <w:sz w:val="48"/>
          <w:szCs w:val="48"/>
        </w:rPr>
        <w:t xml:space="preserve">: </w:t>
      </w:r>
      <w:r>
        <w:rPr>
          <w:sz w:val="48"/>
          <w:szCs w:val="48"/>
        </w:rPr>
        <w:t>Smart Inverters</w:t>
      </w:r>
    </w:p>
    <w:p w14:paraId="20CD4C55" w14:textId="605DEE96" w:rsidR="00EF0ABC" w:rsidRPr="00DD5ECC" w:rsidRDefault="00FB1F93" w:rsidP="00EF0ABC">
      <w:pPr>
        <w:pStyle w:val="Subtitle"/>
        <w:spacing w:after="0"/>
        <w:rPr>
          <w:rFonts w:ascii="Times New Roman" w:hAnsi="Times New Roman" w:cs="Times New Roman"/>
          <w:sz w:val="24"/>
          <w:szCs w:val="24"/>
        </w:rPr>
      </w:pPr>
      <w:r>
        <w:rPr>
          <w:rFonts w:ascii="Times New Roman" w:hAnsi="Times New Roman" w:cs="Times New Roman"/>
          <w:sz w:val="24"/>
          <w:szCs w:val="24"/>
        </w:rPr>
        <w:t>Non-Utility Party</w:t>
      </w:r>
      <w:r w:rsidR="00EF0ABC" w:rsidRPr="00DD5ECC">
        <w:rPr>
          <w:rFonts w:ascii="Times New Roman" w:hAnsi="Times New Roman" w:cs="Times New Roman"/>
          <w:sz w:val="24"/>
          <w:szCs w:val="24"/>
        </w:rPr>
        <w:t xml:space="preserve"> Comments on Joint IOUs’ Initial Proposal </w:t>
      </w:r>
    </w:p>
    <w:p w14:paraId="10294BC6" w14:textId="25681DB3" w:rsidR="00487408" w:rsidRDefault="00EF0ABC" w:rsidP="00EF0ABC">
      <w:pPr>
        <w:pStyle w:val="Subtitle"/>
        <w:spacing w:after="0"/>
        <w:rPr>
          <w:rFonts w:ascii="Times New Roman" w:hAnsi="Times New Roman" w:cs="Times New Roman"/>
          <w:sz w:val="24"/>
          <w:szCs w:val="24"/>
        </w:rPr>
      </w:pPr>
      <w:r w:rsidRPr="00DD5ECC">
        <w:rPr>
          <w:rFonts w:ascii="Times New Roman" w:hAnsi="Times New Roman" w:cs="Times New Roman"/>
          <w:sz w:val="24"/>
          <w:szCs w:val="24"/>
        </w:rPr>
        <w:t>ICA Working Grou</w:t>
      </w:r>
      <w:r w:rsidR="00487408">
        <w:rPr>
          <w:rFonts w:ascii="Times New Roman" w:hAnsi="Times New Roman" w:cs="Times New Roman"/>
          <w:sz w:val="24"/>
          <w:szCs w:val="24"/>
        </w:rPr>
        <w:t>p</w:t>
      </w:r>
    </w:p>
    <w:p w14:paraId="14E6C4BC" w14:textId="5CBBA2F9" w:rsidR="00487408" w:rsidRPr="00487408" w:rsidRDefault="00487408" w:rsidP="00487408">
      <w:pPr>
        <w:pStyle w:val="Subtitle"/>
        <w:spacing w:after="0"/>
        <w:rPr>
          <w:rFonts w:ascii="Times New Roman" w:hAnsi="Times New Roman" w:cs="Times New Roman"/>
          <w:sz w:val="24"/>
          <w:szCs w:val="24"/>
        </w:rPr>
      </w:pPr>
      <w:r>
        <w:rPr>
          <w:rFonts w:ascii="Times New Roman" w:hAnsi="Times New Roman" w:cs="Times New Roman"/>
          <w:sz w:val="24"/>
          <w:szCs w:val="24"/>
        </w:rPr>
        <w:t>August 29, 2017</w:t>
      </w:r>
    </w:p>
    <w:p w14:paraId="43F9660E" w14:textId="77777777" w:rsidR="00EF0ABC" w:rsidRPr="00DD5ECC" w:rsidRDefault="00EF0ABC" w:rsidP="00EF0ABC">
      <w:pPr>
        <w:rPr>
          <w:rFonts w:ascii="Times New Roman" w:hAnsi="Times New Roman" w:cs="Times New Roman"/>
        </w:rPr>
      </w:pPr>
    </w:p>
    <w:p w14:paraId="5A8A3101" w14:textId="77777777" w:rsidR="00E0768F" w:rsidRDefault="00E0768F" w:rsidP="00E0768F">
      <w:pPr>
        <w:pStyle w:val="Heading1"/>
        <w:spacing w:before="0"/>
      </w:pPr>
      <w:r>
        <w:t>Summary of Recommendations</w:t>
      </w:r>
    </w:p>
    <w:p w14:paraId="3E02F44A" w14:textId="77777777" w:rsidR="00EF0ABC" w:rsidRPr="00DD5ECC" w:rsidRDefault="00EF0ABC" w:rsidP="00EF0ABC">
      <w:pPr>
        <w:pStyle w:val="ListParagraph"/>
        <w:numPr>
          <w:ilvl w:val="0"/>
          <w:numId w:val="1"/>
        </w:numPr>
        <w:spacing w:after="0"/>
        <w:rPr>
          <w:rFonts w:ascii="Times New Roman" w:hAnsi="Times New Roman" w:cs="Times New Roman"/>
          <w:sz w:val="24"/>
          <w:szCs w:val="24"/>
        </w:rPr>
      </w:pPr>
      <w:r w:rsidRPr="00DD5ECC">
        <w:rPr>
          <w:rFonts w:ascii="Times New Roman" w:hAnsi="Times New Roman" w:cs="Times New Roman"/>
          <w:sz w:val="24"/>
          <w:szCs w:val="24"/>
        </w:rPr>
        <w:t>The IOUs should not be conducting studies on potential changes to the Volt/</w:t>
      </w:r>
      <w:proofErr w:type="spellStart"/>
      <w:r w:rsidRPr="00DD5ECC">
        <w:rPr>
          <w:rFonts w:ascii="Times New Roman" w:hAnsi="Times New Roman" w:cs="Times New Roman"/>
          <w:sz w:val="24"/>
          <w:szCs w:val="24"/>
        </w:rPr>
        <w:t>Var</w:t>
      </w:r>
      <w:proofErr w:type="spellEnd"/>
      <w:r w:rsidRPr="00DD5ECC">
        <w:rPr>
          <w:rFonts w:ascii="Times New Roman" w:hAnsi="Times New Roman" w:cs="Times New Roman"/>
          <w:sz w:val="24"/>
          <w:szCs w:val="24"/>
        </w:rPr>
        <w:t xml:space="preserve"> curve in this proceeding.</w:t>
      </w:r>
    </w:p>
    <w:p w14:paraId="1262A1C3" w14:textId="77777777" w:rsidR="00A15E40" w:rsidRPr="00DD5ECC" w:rsidRDefault="00A15E40" w:rsidP="00EF0ABC">
      <w:pPr>
        <w:pStyle w:val="ListParagraph"/>
        <w:numPr>
          <w:ilvl w:val="0"/>
          <w:numId w:val="1"/>
        </w:numPr>
        <w:spacing w:after="0"/>
        <w:rPr>
          <w:rFonts w:ascii="Times New Roman" w:hAnsi="Times New Roman" w:cs="Times New Roman"/>
          <w:sz w:val="24"/>
          <w:szCs w:val="24"/>
        </w:rPr>
      </w:pPr>
      <w:r w:rsidRPr="00DD5ECC">
        <w:rPr>
          <w:rFonts w:ascii="Times New Roman" w:hAnsi="Times New Roman" w:cs="Times New Roman"/>
          <w:sz w:val="24"/>
          <w:szCs w:val="24"/>
        </w:rPr>
        <w:t>The initial system-wide rollout of ICA should incorporate the benefits of Volt/</w:t>
      </w:r>
      <w:proofErr w:type="spellStart"/>
      <w:r w:rsidRPr="00DD5ECC">
        <w:rPr>
          <w:rFonts w:ascii="Times New Roman" w:hAnsi="Times New Roman" w:cs="Times New Roman"/>
          <w:sz w:val="24"/>
          <w:szCs w:val="24"/>
        </w:rPr>
        <w:t>Var</w:t>
      </w:r>
      <w:proofErr w:type="spellEnd"/>
      <w:r w:rsidRPr="00DD5ECC">
        <w:rPr>
          <w:rFonts w:ascii="Times New Roman" w:hAnsi="Times New Roman" w:cs="Times New Roman"/>
          <w:sz w:val="24"/>
          <w:szCs w:val="24"/>
        </w:rPr>
        <w:t xml:space="preserve"> functionality with reactive power priority.</w:t>
      </w:r>
    </w:p>
    <w:p w14:paraId="6CE47860" w14:textId="7FF626B0" w:rsidR="00A15E40" w:rsidRPr="00DD5ECC" w:rsidRDefault="00A15E40" w:rsidP="00EF0ABC">
      <w:pPr>
        <w:pStyle w:val="ListParagraph"/>
        <w:numPr>
          <w:ilvl w:val="0"/>
          <w:numId w:val="1"/>
        </w:numPr>
        <w:spacing w:after="0"/>
        <w:rPr>
          <w:rFonts w:ascii="Times New Roman" w:hAnsi="Times New Roman" w:cs="Times New Roman"/>
          <w:sz w:val="24"/>
          <w:szCs w:val="24"/>
        </w:rPr>
      </w:pPr>
      <w:r w:rsidRPr="00DD5ECC">
        <w:rPr>
          <w:rFonts w:ascii="Times New Roman" w:hAnsi="Times New Roman" w:cs="Times New Roman"/>
          <w:sz w:val="24"/>
          <w:szCs w:val="24"/>
        </w:rPr>
        <w:t>The Volt/Wa</w:t>
      </w:r>
      <w:r w:rsidR="00E0768F">
        <w:rPr>
          <w:rFonts w:ascii="Times New Roman" w:hAnsi="Times New Roman" w:cs="Times New Roman"/>
          <w:sz w:val="24"/>
          <w:szCs w:val="24"/>
        </w:rPr>
        <w:t>tt function will support larger DER sizes without further studies.</w:t>
      </w:r>
    </w:p>
    <w:p w14:paraId="13EAE01B" w14:textId="77777777" w:rsidR="00A15E40" w:rsidRPr="00DD5ECC" w:rsidRDefault="00A15E40" w:rsidP="00EF0ABC">
      <w:pPr>
        <w:pStyle w:val="ListParagraph"/>
        <w:numPr>
          <w:ilvl w:val="0"/>
          <w:numId w:val="1"/>
        </w:numPr>
        <w:spacing w:after="0"/>
        <w:rPr>
          <w:rFonts w:ascii="Times New Roman" w:hAnsi="Times New Roman" w:cs="Times New Roman"/>
          <w:sz w:val="24"/>
          <w:szCs w:val="24"/>
        </w:rPr>
      </w:pPr>
      <w:r w:rsidRPr="00DD5ECC">
        <w:rPr>
          <w:rFonts w:ascii="Times New Roman" w:hAnsi="Times New Roman" w:cs="Times New Roman"/>
          <w:sz w:val="24"/>
          <w:szCs w:val="24"/>
        </w:rPr>
        <w:t>The Phase 3 scheduling function will support increased sizes of DERs.</w:t>
      </w:r>
    </w:p>
    <w:p w14:paraId="34A42E92" w14:textId="77777777" w:rsidR="00A15E40" w:rsidRPr="00DD5ECC" w:rsidRDefault="00A15E40" w:rsidP="00A15E40">
      <w:pPr>
        <w:rPr>
          <w:rFonts w:ascii="Times New Roman" w:hAnsi="Times New Roman" w:cs="Times New Roman"/>
        </w:rPr>
      </w:pPr>
    </w:p>
    <w:p w14:paraId="09E26566" w14:textId="613F1DF4" w:rsidR="00E0768F" w:rsidRDefault="00E0768F" w:rsidP="00E0768F">
      <w:pPr>
        <w:pStyle w:val="Heading1"/>
        <w:spacing w:before="0"/>
      </w:pPr>
      <w:r>
        <w:t>Background</w:t>
      </w:r>
    </w:p>
    <w:p w14:paraId="7A5D63E2" w14:textId="26D54730" w:rsidR="00A15E40" w:rsidRPr="00DD5ECC" w:rsidRDefault="00A15E40" w:rsidP="00A15E40">
      <w:pPr>
        <w:rPr>
          <w:rFonts w:ascii="Times New Roman" w:hAnsi="Times New Roman" w:cs="Times New Roman"/>
        </w:rPr>
      </w:pPr>
      <w:r w:rsidRPr="00DD5ECC">
        <w:rPr>
          <w:rFonts w:ascii="Times New Roman" w:eastAsiaTheme="minorHAnsi" w:hAnsi="Times New Roman" w:cs="Times New Roman"/>
        </w:rPr>
        <w:t xml:space="preserve">SCE, on behalf of </w:t>
      </w:r>
      <w:r w:rsidR="00746B68">
        <w:rPr>
          <w:rFonts w:ascii="Times New Roman" w:eastAsiaTheme="minorHAnsi" w:hAnsi="Times New Roman" w:cs="Times New Roman"/>
        </w:rPr>
        <w:t>the IOUs, made a presentation at</w:t>
      </w:r>
      <w:r w:rsidR="00AE0458">
        <w:rPr>
          <w:rFonts w:ascii="Times New Roman" w:eastAsiaTheme="minorHAnsi" w:hAnsi="Times New Roman" w:cs="Times New Roman"/>
        </w:rPr>
        <w:t xml:space="preserve"> the August ICA Working G</w:t>
      </w:r>
      <w:r w:rsidRPr="00DD5ECC">
        <w:rPr>
          <w:rFonts w:ascii="Times New Roman" w:eastAsiaTheme="minorHAnsi" w:hAnsi="Times New Roman" w:cs="Times New Roman"/>
        </w:rPr>
        <w:t>roup meeting on the impacts of smart inverter functions on ICA. There was limited time for d</w:t>
      </w:r>
      <w:r w:rsidR="00AE0458">
        <w:rPr>
          <w:rFonts w:ascii="Times New Roman" w:eastAsiaTheme="minorHAnsi" w:hAnsi="Times New Roman" w:cs="Times New Roman"/>
        </w:rPr>
        <w:t>iscussion during that meeting. The California Solar Energy Indus</w:t>
      </w:r>
      <w:r w:rsidR="00FB1F93">
        <w:rPr>
          <w:rFonts w:ascii="Times New Roman" w:eastAsiaTheme="minorHAnsi" w:hAnsi="Times New Roman" w:cs="Times New Roman"/>
        </w:rPr>
        <w:t>tries Association (CALSEIA),</w:t>
      </w:r>
      <w:r w:rsidR="00AE0458">
        <w:rPr>
          <w:rFonts w:ascii="Times New Roman" w:eastAsiaTheme="minorHAnsi" w:hAnsi="Times New Roman" w:cs="Times New Roman"/>
        </w:rPr>
        <w:t xml:space="preserve"> the Interstate Renewable Energy Council (IREC)</w:t>
      </w:r>
      <w:r w:rsidR="00FB1F93">
        <w:rPr>
          <w:rFonts w:ascii="Times New Roman" w:eastAsiaTheme="minorHAnsi" w:hAnsi="Times New Roman" w:cs="Times New Roman"/>
        </w:rPr>
        <w:t>, and the Clean Coalition</w:t>
      </w:r>
      <w:r w:rsidR="00AE0458">
        <w:rPr>
          <w:rFonts w:ascii="Times New Roman" w:eastAsiaTheme="minorHAnsi" w:hAnsi="Times New Roman" w:cs="Times New Roman"/>
        </w:rPr>
        <w:t xml:space="preserve"> offer </w:t>
      </w:r>
      <w:r w:rsidRPr="00DD5ECC">
        <w:rPr>
          <w:rFonts w:ascii="Times New Roman" w:eastAsiaTheme="minorHAnsi" w:hAnsi="Times New Roman" w:cs="Times New Roman"/>
        </w:rPr>
        <w:t xml:space="preserve">the following </w:t>
      </w:r>
      <w:r w:rsidR="00FB1F93">
        <w:rPr>
          <w:rFonts w:ascii="Times New Roman" w:eastAsiaTheme="minorHAnsi" w:hAnsi="Times New Roman" w:cs="Times New Roman"/>
        </w:rPr>
        <w:t xml:space="preserve">comments and </w:t>
      </w:r>
      <w:r w:rsidRPr="00DD5ECC">
        <w:rPr>
          <w:rFonts w:ascii="Times New Roman" w:eastAsiaTheme="minorHAnsi" w:hAnsi="Times New Roman" w:cs="Times New Roman"/>
        </w:rPr>
        <w:t>recommendations</w:t>
      </w:r>
      <w:r w:rsidR="00FB1F93">
        <w:rPr>
          <w:rFonts w:ascii="Times New Roman" w:eastAsiaTheme="minorHAnsi" w:hAnsi="Times New Roman" w:cs="Times New Roman"/>
        </w:rPr>
        <w:t xml:space="preserve"> in response to the IOU proposal</w:t>
      </w:r>
      <w:r w:rsidRPr="00DD5ECC">
        <w:rPr>
          <w:rFonts w:ascii="Times New Roman" w:eastAsiaTheme="minorHAnsi" w:hAnsi="Times New Roman" w:cs="Times New Roman"/>
        </w:rPr>
        <w:t xml:space="preserve">. </w:t>
      </w:r>
    </w:p>
    <w:p w14:paraId="6BCDC963" w14:textId="77777777" w:rsidR="004C0166" w:rsidRPr="00DD5ECC" w:rsidRDefault="004C0166">
      <w:pPr>
        <w:rPr>
          <w:rFonts w:ascii="Times New Roman" w:hAnsi="Times New Roman" w:cs="Times New Roman"/>
        </w:rPr>
      </w:pPr>
    </w:p>
    <w:p w14:paraId="4D6D078F" w14:textId="119D6226" w:rsidR="00E0768F" w:rsidRDefault="00E0768F" w:rsidP="00E0768F">
      <w:pPr>
        <w:pStyle w:val="Heading1"/>
        <w:spacing w:before="0"/>
      </w:pPr>
      <w:r>
        <w:t>Discussion</w:t>
      </w:r>
    </w:p>
    <w:p w14:paraId="1E61D894" w14:textId="77777777" w:rsidR="00CF360B" w:rsidRPr="00DD5ECC" w:rsidRDefault="00CF360B" w:rsidP="00A15E40">
      <w:pPr>
        <w:rPr>
          <w:rFonts w:ascii="Times New Roman" w:eastAsiaTheme="minorHAnsi" w:hAnsi="Times New Roman" w:cs="Times New Roman"/>
        </w:rPr>
      </w:pPr>
      <w:r w:rsidRPr="00DD5ECC">
        <w:rPr>
          <w:rFonts w:ascii="Times New Roman" w:eastAsiaTheme="minorHAnsi" w:hAnsi="Times New Roman" w:cs="Times New Roman"/>
        </w:rPr>
        <w:t>The three smart inverter functions that are most important to consider in an interconnection context are Volt/</w:t>
      </w:r>
      <w:proofErr w:type="spellStart"/>
      <w:r w:rsidRPr="00DD5ECC">
        <w:rPr>
          <w:rFonts w:ascii="Times New Roman" w:eastAsiaTheme="minorHAnsi" w:hAnsi="Times New Roman" w:cs="Times New Roman"/>
        </w:rPr>
        <w:t>Var</w:t>
      </w:r>
      <w:proofErr w:type="spellEnd"/>
      <w:r w:rsidRPr="00DD5ECC">
        <w:rPr>
          <w:rFonts w:ascii="Times New Roman" w:eastAsiaTheme="minorHAnsi" w:hAnsi="Times New Roman" w:cs="Times New Roman"/>
        </w:rPr>
        <w:t xml:space="preserve">, Volt/Watt, and Scheduling. </w:t>
      </w:r>
    </w:p>
    <w:p w14:paraId="15DACA15" w14:textId="77777777" w:rsidR="00DD5ECC" w:rsidRDefault="00DD5ECC" w:rsidP="00A15E40">
      <w:pPr>
        <w:rPr>
          <w:rFonts w:ascii="Times New Roman" w:eastAsiaTheme="minorHAnsi" w:hAnsi="Times New Roman" w:cs="Times New Roman"/>
        </w:rPr>
      </w:pPr>
    </w:p>
    <w:p w14:paraId="19933753" w14:textId="3FBE1EDB" w:rsidR="00F001BF" w:rsidRPr="000673C7" w:rsidRDefault="00F001BF" w:rsidP="00A15E40">
      <w:pPr>
        <w:rPr>
          <w:rFonts w:ascii="Times New Roman" w:eastAsiaTheme="minorHAnsi" w:hAnsi="Times New Roman" w:cs="Times New Roman"/>
          <w:b/>
        </w:rPr>
      </w:pPr>
      <w:r w:rsidRPr="000673C7">
        <w:rPr>
          <w:rFonts w:ascii="Times New Roman" w:eastAsiaTheme="minorHAnsi" w:hAnsi="Times New Roman" w:cs="Times New Roman"/>
          <w:b/>
        </w:rPr>
        <w:t>Volt/</w:t>
      </w:r>
      <w:proofErr w:type="spellStart"/>
      <w:r w:rsidRPr="000673C7">
        <w:rPr>
          <w:rFonts w:ascii="Times New Roman" w:eastAsiaTheme="minorHAnsi" w:hAnsi="Times New Roman" w:cs="Times New Roman"/>
          <w:b/>
        </w:rPr>
        <w:t>Var</w:t>
      </w:r>
      <w:proofErr w:type="spellEnd"/>
    </w:p>
    <w:p w14:paraId="2ABE65C2" w14:textId="1E89DD74" w:rsidR="00EF0ABC" w:rsidRPr="00DD5ECC" w:rsidRDefault="00A15E40" w:rsidP="00A15E40">
      <w:pPr>
        <w:rPr>
          <w:rFonts w:ascii="Times New Roman" w:eastAsiaTheme="minorHAnsi" w:hAnsi="Times New Roman" w:cs="Times New Roman"/>
        </w:rPr>
      </w:pPr>
      <w:r w:rsidRPr="00DD5ECC">
        <w:rPr>
          <w:rFonts w:ascii="Times New Roman" w:eastAsiaTheme="minorHAnsi" w:hAnsi="Times New Roman" w:cs="Times New Roman"/>
        </w:rPr>
        <w:t>The Volt/</w:t>
      </w:r>
      <w:proofErr w:type="spellStart"/>
      <w:r w:rsidRPr="00DD5ECC">
        <w:rPr>
          <w:rFonts w:ascii="Times New Roman" w:eastAsiaTheme="minorHAnsi" w:hAnsi="Times New Roman" w:cs="Times New Roman"/>
        </w:rPr>
        <w:t>Var</w:t>
      </w:r>
      <w:proofErr w:type="spellEnd"/>
      <w:r w:rsidRPr="00DD5ECC">
        <w:rPr>
          <w:rFonts w:ascii="Times New Roman" w:eastAsiaTheme="minorHAnsi" w:hAnsi="Times New Roman" w:cs="Times New Roman"/>
        </w:rPr>
        <w:t xml:space="preserve"> </w:t>
      </w:r>
      <w:r w:rsidR="00774494" w:rsidRPr="00DD5ECC">
        <w:rPr>
          <w:rFonts w:ascii="Times New Roman" w:eastAsiaTheme="minorHAnsi" w:hAnsi="Times New Roman" w:cs="Times New Roman"/>
        </w:rPr>
        <w:t>function with active power priority will provide a large amount of voltage support, but</w:t>
      </w:r>
      <w:r w:rsidR="00F001BF">
        <w:rPr>
          <w:rFonts w:ascii="Times New Roman" w:eastAsiaTheme="minorHAnsi" w:hAnsi="Times New Roman" w:cs="Times New Roman"/>
        </w:rPr>
        <w:t xml:space="preserve"> the </w:t>
      </w:r>
      <w:r w:rsidR="00A91F91">
        <w:rPr>
          <w:rFonts w:ascii="Times New Roman" w:eastAsiaTheme="minorHAnsi" w:hAnsi="Times New Roman" w:cs="Times New Roman"/>
        </w:rPr>
        <w:t>non-utility p</w:t>
      </w:r>
      <w:r w:rsidR="00F001BF">
        <w:rPr>
          <w:rFonts w:ascii="Times New Roman" w:eastAsiaTheme="minorHAnsi" w:hAnsi="Times New Roman" w:cs="Times New Roman"/>
        </w:rPr>
        <w:t>arties recognize that with active power priority it will be</w:t>
      </w:r>
      <w:r w:rsidR="00774494" w:rsidRPr="00DD5ECC">
        <w:rPr>
          <w:rFonts w:ascii="Times New Roman" w:eastAsiaTheme="minorHAnsi" w:hAnsi="Times New Roman" w:cs="Times New Roman"/>
        </w:rPr>
        <w:t xml:space="preserve"> difficult for utilities to rely on that functionality when it is needed most. When the default setting of this function is changed to reactive power priority, it will increase hosting capacity. </w:t>
      </w:r>
    </w:p>
    <w:p w14:paraId="65527B99" w14:textId="77777777" w:rsidR="00774494" w:rsidRPr="00DD5ECC" w:rsidRDefault="00774494" w:rsidP="00A15E40">
      <w:pPr>
        <w:rPr>
          <w:rFonts w:ascii="Times New Roman" w:eastAsiaTheme="minorHAnsi" w:hAnsi="Times New Roman" w:cs="Times New Roman"/>
        </w:rPr>
      </w:pPr>
    </w:p>
    <w:p w14:paraId="285C784C" w14:textId="77777777" w:rsidR="00774494" w:rsidRDefault="00774494" w:rsidP="00A15E40">
      <w:pPr>
        <w:rPr>
          <w:rFonts w:ascii="Times New Roman" w:eastAsiaTheme="minorHAnsi" w:hAnsi="Times New Roman" w:cs="Times New Roman"/>
        </w:rPr>
      </w:pPr>
      <w:r w:rsidRPr="00DD5ECC">
        <w:rPr>
          <w:rFonts w:ascii="Times New Roman" w:eastAsiaTheme="minorHAnsi" w:hAnsi="Times New Roman" w:cs="Times New Roman"/>
        </w:rPr>
        <w:t xml:space="preserve">Approximately 100,000 customers per year will install smart inverters throughout California IOU service territories. This will quickly become an asset that will have positive impacts on hosting capacity. </w:t>
      </w:r>
    </w:p>
    <w:p w14:paraId="5B318D1D" w14:textId="77777777" w:rsidR="00F001BF" w:rsidRDefault="00F001BF" w:rsidP="00A15E40">
      <w:pPr>
        <w:rPr>
          <w:rFonts w:ascii="Times New Roman" w:eastAsiaTheme="minorHAnsi" w:hAnsi="Times New Roman" w:cs="Times New Roman"/>
        </w:rPr>
      </w:pPr>
    </w:p>
    <w:p w14:paraId="0FDF81D1" w14:textId="77777777" w:rsidR="00065428" w:rsidRDefault="00181C89" w:rsidP="00A15E40">
      <w:pPr>
        <w:rPr>
          <w:rFonts w:ascii="Times New Roman" w:eastAsiaTheme="minorHAnsi" w:hAnsi="Times New Roman" w:cs="Times New Roman"/>
        </w:rPr>
      </w:pPr>
      <w:r>
        <w:rPr>
          <w:rFonts w:ascii="Times New Roman" w:eastAsiaTheme="minorHAnsi" w:hAnsi="Times New Roman" w:cs="Times New Roman"/>
        </w:rPr>
        <w:t xml:space="preserve">As part of Demo A, the utilities worked with Cyme and </w:t>
      </w:r>
      <w:proofErr w:type="spellStart"/>
      <w:r>
        <w:rPr>
          <w:rFonts w:ascii="Times New Roman" w:eastAsiaTheme="minorHAnsi" w:hAnsi="Times New Roman" w:cs="Times New Roman"/>
        </w:rPr>
        <w:t>Synergi</w:t>
      </w:r>
      <w:proofErr w:type="spellEnd"/>
      <w:r>
        <w:rPr>
          <w:rFonts w:ascii="Times New Roman" w:eastAsiaTheme="minorHAnsi" w:hAnsi="Times New Roman" w:cs="Times New Roman"/>
        </w:rPr>
        <w:t xml:space="preserve"> to begin building modules to incorporate smart inverter functionality into the ICA. At previous Working Group meetings, the utilities expressed that the vendors are wil</w:t>
      </w:r>
      <w:r w:rsidR="00065428">
        <w:rPr>
          <w:rFonts w:ascii="Times New Roman" w:eastAsiaTheme="minorHAnsi" w:hAnsi="Times New Roman" w:cs="Times New Roman"/>
        </w:rPr>
        <w:t xml:space="preserve">ling to enhance that capability as needed and as feasible. </w:t>
      </w:r>
    </w:p>
    <w:p w14:paraId="0A75C357" w14:textId="0C83F5A9" w:rsidR="00F001BF" w:rsidRDefault="00181C89" w:rsidP="00A15E40">
      <w:pPr>
        <w:rPr>
          <w:rFonts w:ascii="Times New Roman" w:eastAsiaTheme="minorHAnsi" w:hAnsi="Times New Roman" w:cs="Times New Roman"/>
        </w:rPr>
      </w:pPr>
      <w:r>
        <w:rPr>
          <w:rFonts w:ascii="Times New Roman" w:eastAsiaTheme="minorHAnsi" w:hAnsi="Times New Roman" w:cs="Times New Roman"/>
        </w:rPr>
        <w:t xml:space="preserve"> </w:t>
      </w:r>
    </w:p>
    <w:p w14:paraId="3D7419DB" w14:textId="143B26AF" w:rsidR="00065428" w:rsidRDefault="00746B68" w:rsidP="00A15E40">
      <w:pPr>
        <w:rPr>
          <w:rFonts w:ascii="Times New Roman" w:eastAsiaTheme="minorHAnsi" w:hAnsi="Times New Roman" w:cs="Times New Roman"/>
        </w:rPr>
      </w:pPr>
      <w:r>
        <w:rPr>
          <w:rFonts w:ascii="Times New Roman" w:eastAsiaTheme="minorHAnsi" w:hAnsi="Times New Roman" w:cs="Times New Roman"/>
        </w:rPr>
        <w:t xml:space="preserve">Rather than incorporating this functionality into the ICA calculation, the IOUs have proposed unnecessary studies. </w:t>
      </w:r>
      <w:r w:rsidR="00F001BF">
        <w:rPr>
          <w:rFonts w:ascii="Times New Roman" w:eastAsiaTheme="minorHAnsi" w:hAnsi="Times New Roman" w:cs="Times New Roman"/>
        </w:rPr>
        <w:t xml:space="preserve">The IOUs propose to </w:t>
      </w:r>
      <w:r w:rsidR="00065428">
        <w:rPr>
          <w:rFonts w:ascii="Times New Roman" w:eastAsiaTheme="minorHAnsi" w:hAnsi="Times New Roman" w:cs="Times New Roman"/>
        </w:rPr>
        <w:t>use the adopted Volt/</w:t>
      </w:r>
      <w:proofErr w:type="spellStart"/>
      <w:r w:rsidR="00065428">
        <w:rPr>
          <w:rFonts w:ascii="Times New Roman" w:eastAsiaTheme="minorHAnsi" w:hAnsi="Times New Roman" w:cs="Times New Roman"/>
        </w:rPr>
        <w:t>Var</w:t>
      </w:r>
      <w:proofErr w:type="spellEnd"/>
      <w:r w:rsidR="00065428">
        <w:rPr>
          <w:rFonts w:ascii="Times New Roman" w:eastAsiaTheme="minorHAnsi" w:hAnsi="Times New Roman" w:cs="Times New Roman"/>
        </w:rPr>
        <w:t xml:space="preserve"> curve as a baseline and measure the impacts of changes to the Volt/</w:t>
      </w:r>
      <w:proofErr w:type="spellStart"/>
      <w:r w:rsidR="00065428">
        <w:rPr>
          <w:rFonts w:ascii="Times New Roman" w:eastAsiaTheme="minorHAnsi" w:hAnsi="Times New Roman" w:cs="Times New Roman"/>
        </w:rPr>
        <w:t>Var</w:t>
      </w:r>
      <w:proofErr w:type="spellEnd"/>
      <w:r w:rsidR="00065428">
        <w:rPr>
          <w:rFonts w:ascii="Times New Roman" w:eastAsiaTheme="minorHAnsi" w:hAnsi="Times New Roman" w:cs="Times New Roman"/>
        </w:rPr>
        <w:t xml:space="preserve"> curve against the baseline. </w:t>
      </w:r>
      <w:r w:rsidR="00065428">
        <w:rPr>
          <w:rFonts w:ascii="Times New Roman" w:eastAsiaTheme="minorHAnsi" w:hAnsi="Times New Roman" w:cs="Times New Roman"/>
        </w:rPr>
        <w:lastRenderedPageBreak/>
        <w:t>Such an exercise is out of place in this proceeding. The utilities and other stakeholders in the Smart Inverter Working Group (SIWG) have put a lot of work into developing the adopted Volt/</w:t>
      </w:r>
      <w:proofErr w:type="spellStart"/>
      <w:r w:rsidR="00065428">
        <w:rPr>
          <w:rFonts w:ascii="Times New Roman" w:eastAsiaTheme="minorHAnsi" w:hAnsi="Times New Roman" w:cs="Times New Roman"/>
        </w:rPr>
        <w:t>Var</w:t>
      </w:r>
      <w:proofErr w:type="spellEnd"/>
      <w:r w:rsidR="00065428">
        <w:rPr>
          <w:rFonts w:ascii="Times New Roman" w:eastAsiaTheme="minorHAnsi" w:hAnsi="Times New Roman" w:cs="Times New Roman"/>
        </w:rPr>
        <w:t xml:space="preserve"> curve. If the utilities want to revisit the outcome of that work, they should do so within the SIWG</w:t>
      </w:r>
      <w:r w:rsidR="00A91F91">
        <w:rPr>
          <w:rFonts w:ascii="Times New Roman" w:eastAsiaTheme="minorHAnsi" w:hAnsi="Times New Roman" w:cs="Times New Roman"/>
        </w:rPr>
        <w:t xml:space="preserve"> or</w:t>
      </w:r>
      <w:r w:rsidR="0040611D">
        <w:rPr>
          <w:rFonts w:ascii="Times New Roman" w:eastAsiaTheme="minorHAnsi" w:hAnsi="Times New Roman" w:cs="Times New Roman"/>
        </w:rPr>
        <w:t xml:space="preserve"> in the new Rule 21 proceeding, R17-07-007</w:t>
      </w:r>
      <w:r w:rsidR="00065428">
        <w:rPr>
          <w:rFonts w:ascii="Times New Roman" w:eastAsiaTheme="minorHAnsi" w:hAnsi="Times New Roman" w:cs="Times New Roman"/>
        </w:rPr>
        <w:t xml:space="preserve">. </w:t>
      </w:r>
    </w:p>
    <w:p w14:paraId="2D1CDAE4" w14:textId="77777777" w:rsidR="00065428" w:rsidRDefault="00065428" w:rsidP="00A15E40">
      <w:pPr>
        <w:rPr>
          <w:rFonts w:ascii="Times New Roman" w:eastAsiaTheme="minorHAnsi" w:hAnsi="Times New Roman" w:cs="Times New Roman"/>
        </w:rPr>
      </w:pPr>
    </w:p>
    <w:p w14:paraId="4FA386E3" w14:textId="00E9D368" w:rsidR="00065428" w:rsidRDefault="00065428" w:rsidP="00A15E40">
      <w:pPr>
        <w:rPr>
          <w:rFonts w:ascii="Times New Roman" w:eastAsiaTheme="minorHAnsi" w:hAnsi="Times New Roman" w:cs="Times New Roman"/>
        </w:rPr>
      </w:pPr>
      <w:r>
        <w:rPr>
          <w:rFonts w:ascii="Times New Roman" w:eastAsiaTheme="minorHAnsi" w:hAnsi="Times New Roman" w:cs="Times New Roman"/>
        </w:rPr>
        <w:t>The task in this proceeding is to produce numbers for the ICA. In Demo A, the utilities did not incorporate the benefits of Volt/</w:t>
      </w:r>
      <w:proofErr w:type="spellStart"/>
      <w:r>
        <w:rPr>
          <w:rFonts w:ascii="Times New Roman" w:eastAsiaTheme="minorHAnsi" w:hAnsi="Times New Roman" w:cs="Times New Roman"/>
        </w:rPr>
        <w:t>Var</w:t>
      </w:r>
      <w:proofErr w:type="spellEnd"/>
      <w:r>
        <w:rPr>
          <w:rFonts w:ascii="Times New Roman" w:eastAsiaTheme="minorHAnsi" w:hAnsi="Times New Roman" w:cs="Times New Roman"/>
        </w:rPr>
        <w:t xml:space="preserve"> with reactive power priority in the ICA. They should begin immediately to do so for the first system-wide rollout. </w:t>
      </w:r>
      <w:r w:rsidR="0040611D">
        <w:rPr>
          <w:rFonts w:ascii="Times New Roman" w:eastAsiaTheme="minorHAnsi" w:hAnsi="Times New Roman" w:cs="Times New Roman"/>
        </w:rPr>
        <w:t xml:space="preserve">The deadline for inverters to be set to reactive power priority is still not settled, but most or all parties agree that the requirement is coming in the near future. </w:t>
      </w:r>
      <w:r w:rsidR="00A91F91">
        <w:rPr>
          <w:rFonts w:ascii="Times New Roman" w:eastAsiaTheme="minorHAnsi" w:hAnsi="Times New Roman" w:cs="Times New Roman"/>
        </w:rPr>
        <w:t>By the time the final report is submitted by this Working Group, the start date for reactive power priority will likely have been set.</w:t>
      </w:r>
    </w:p>
    <w:p w14:paraId="035E7C1A" w14:textId="77777777" w:rsidR="0040611D" w:rsidRDefault="0040611D" w:rsidP="00A15E40">
      <w:pPr>
        <w:rPr>
          <w:rFonts w:ascii="Times New Roman" w:eastAsiaTheme="minorHAnsi" w:hAnsi="Times New Roman" w:cs="Times New Roman"/>
        </w:rPr>
      </w:pPr>
    </w:p>
    <w:p w14:paraId="51BF20B1" w14:textId="6EF809F9" w:rsidR="0040611D" w:rsidRDefault="0040611D" w:rsidP="00A15E40">
      <w:pPr>
        <w:rPr>
          <w:rFonts w:ascii="Times New Roman" w:eastAsiaTheme="minorHAnsi" w:hAnsi="Times New Roman" w:cs="Times New Roman"/>
        </w:rPr>
      </w:pPr>
      <w:r>
        <w:rPr>
          <w:rFonts w:ascii="Times New Roman" w:eastAsiaTheme="minorHAnsi" w:hAnsi="Times New Roman" w:cs="Times New Roman"/>
        </w:rPr>
        <w:t xml:space="preserve">The utilities will need to make assumptions for smart inverter penetration for purposes of ICA calculation. The </w:t>
      </w:r>
      <w:r w:rsidR="00A91F91">
        <w:rPr>
          <w:rFonts w:ascii="Times New Roman" w:eastAsiaTheme="minorHAnsi" w:hAnsi="Times New Roman" w:cs="Times New Roman"/>
        </w:rPr>
        <w:t>non-utility</w:t>
      </w:r>
      <w:r>
        <w:rPr>
          <w:rFonts w:ascii="Times New Roman" w:eastAsiaTheme="minorHAnsi" w:hAnsi="Times New Roman" w:cs="Times New Roman"/>
        </w:rPr>
        <w:t xml:space="preserve"> parties recommend assuming the same number of monthly DER installations in 2018 and beyond as in 2016, dispersed according to the disaggregation methodology adopted this month in this proceeding.</w:t>
      </w:r>
      <w:r>
        <w:rPr>
          <w:rStyle w:val="FootnoteReference"/>
          <w:rFonts w:ascii="Times New Roman" w:eastAsiaTheme="minorHAnsi" w:hAnsi="Times New Roman" w:cs="Times New Roman"/>
        </w:rPr>
        <w:footnoteReference w:id="1"/>
      </w:r>
      <w:r>
        <w:rPr>
          <w:rFonts w:ascii="Times New Roman" w:eastAsiaTheme="minorHAnsi" w:hAnsi="Times New Roman" w:cs="Times New Roman"/>
        </w:rPr>
        <w:t xml:space="preserve"> </w:t>
      </w:r>
    </w:p>
    <w:p w14:paraId="2435337B" w14:textId="77777777" w:rsidR="00DD5ECC" w:rsidRDefault="00DD5ECC" w:rsidP="00A15E40">
      <w:pPr>
        <w:rPr>
          <w:rFonts w:ascii="Times New Roman" w:eastAsiaTheme="minorHAnsi" w:hAnsi="Times New Roman" w:cs="Times New Roman"/>
        </w:rPr>
      </w:pPr>
    </w:p>
    <w:p w14:paraId="670A54C6" w14:textId="12632426" w:rsidR="00E0768F" w:rsidRPr="00697921" w:rsidRDefault="00DD5ECC" w:rsidP="00A15E40">
      <w:pPr>
        <w:rPr>
          <w:rFonts w:ascii="Times New Roman" w:eastAsiaTheme="minorHAnsi" w:hAnsi="Times New Roman" w:cs="Times New Roman"/>
          <w:b/>
        </w:rPr>
      </w:pPr>
      <w:r w:rsidRPr="00697921">
        <w:rPr>
          <w:rFonts w:ascii="Times New Roman" w:eastAsiaTheme="minorHAnsi" w:hAnsi="Times New Roman" w:cs="Times New Roman"/>
          <w:b/>
        </w:rPr>
        <w:t>Scheduling</w:t>
      </w:r>
    </w:p>
    <w:p w14:paraId="45472948" w14:textId="77777777" w:rsidR="00DC77C6" w:rsidRDefault="00DD5ECC" w:rsidP="00DD5ECC">
      <w:pPr>
        <w:rPr>
          <w:rFonts w:ascii="Times New Roman" w:hAnsi="Times New Roman" w:cs="Times New Roman"/>
        </w:rPr>
      </w:pPr>
      <w:r w:rsidRPr="00DD5ECC">
        <w:rPr>
          <w:rFonts w:ascii="Times New Roman" w:hAnsi="Times New Roman" w:cs="Times New Roman"/>
        </w:rPr>
        <w:t xml:space="preserve">With Phase 3 functions, customers will be able to interconnect systems that would exceed constraints in certain hours of the year if they guarantee that they will curtail production during those hours to avoid exceeding the constraints. </w:t>
      </w:r>
    </w:p>
    <w:p w14:paraId="7944FA22" w14:textId="77777777" w:rsidR="00DC77C6" w:rsidRDefault="00DC77C6" w:rsidP="00DD5ECC">
      <w:pPr>
        <w:rPr>
          <w:rFonts w:ascii="Times New Roman" w:hAnsi="Times New Roman" w:cs="Times New Roman"/>
        </w:rPr>
      </w:pPr>
    </w:p>
    <w:p w14:paraId="495D6FEC" w14:textId="71E26D46" w:rsidR="000673C7" w:rsidRDefault="000673C7" w:rsidP="00DD5ECC">
      <w:pPr>
        <w:rPr>
          <w:rFonts w:ascii="Times New Roman" w:hAnsi="Times New Roman" w:cs="Times New Roman"/>
        </w:rPr>
      </w:pPr>
      <w:r>
        <w:rPr>
          <w:rFonts w:ascii="Times New Roman" w:hAnsi="Times New Roman" w:cs="Times New Roman"/>
        </w:rPr>
        <w:t xml:space="preserve">The advice letters </w:t>
      </w:r>
      <w:r w:rsidR="00DC77C6">
        <w:rPr>
          <w:rFonts w:ascii="Times New Roman" w:hAnsi="Times New Roman" w:cs="Times New Roman"/>
        </w:rPr>
        <w:t xml:space="preserve">that utilities recently issued </w:t>
      </w:r>
      <w:r>
        <w:rPr>
          <w:rFonts w:ascii="Times New Roman" w:hAnsi="Times New Roman" w:cs="Times New Roman"/>
        </w:rPr>
        <w:t xml:space="preserve">for the technical </w:t>
      </w:r>
      <w:r w:rsidR="00DC77C6">
        <w:rPr>
          <w:rFonts w:ascii="Times New Roman" w:hAnsi="Times New Roman" w:cs="Times New Roman"/>
        </w:rPr>
        <w:t xml:space="preserve">standards of Phase 3 functions include the Scheduling function. </w:t>
      </w:r>
      <w:r>
        <w:rPr>
          <w:rFonts w:ascii="Times New Roman" w:hAnsi="Times New Roman" w:cs="Times New Roman"/>
        </w:rPr>
        <w:t>Discussion of s</w:t>
      </w:r>
      <w:r w:rsidR="00DD5ECC" w:rsidRPr="00DD5ECC">
        <w:rPr>
          <w:rFonts w:ascii="Times New Roman" w:hAnsi="Times New Roman" w:cs="Times New Roman"/>
        </w:rPr>
        <w:t xml:space="preserve">cheduling of inverter settings </w:t>
      </w:r>
      <w:r>
        <w:rPr>
          <w:rFonts w:ascii="Times New Roman" w:hAnsi="Times New Roman" w:cs="Times New Roman"/>
        </w:rPr>
        <w:t xml:space="preserve">in </w:t>
      </w:r>
      <w:r w:rsidR="00DD5ECC" w:rsidRPr="00DD5ECC">
        <w:rPr>
          <w:rFonts w:ascii="Times New Roman" w:hAnsi="Times New Roman" w:cs="Times New Roman"/>
        </w:rPr>
        <w:t xml:space="preserve">the </w:t>
      </w:r>
      <w:r>
        <w:rPr>
          <w:rFonts w:ascii="Times New Roman" w:hAnsi="Times New Roman" w:cs="Times New Roman"/>
        </w:rPr>
        <w:t>SIWG was</w:t>
      </w:r>
      <w:r w:rsidR="00746B68">
        <w:rPr>
          <w:rFonts w:ascii="Times New Roman" w:hAnsi="Times New Roman" w:cs="Times New Roman"/>
        </w:rPr>
        <w:t xml:space="preserve"> mostly</w:t>
      </w:r>
      <w:r>
        <w:rPr>
          <w:rFonts w:ascii="Times New Roman" w:hAnsi="Times New Roman" w:cs="Times New Roman"/>
        </w:rPr>
        <w:t xml:space="preserve"> in</w:t>
      </w:r>
      <w:r w:rsidR="00DD5ECC" w:rsidRPr="00DD5ECC">
        <w:rPr>
          <w:rFonts w:ascii="Times New Roman" w:hAnsi="Times New Roman" w:cs="Times New Roman"/>
        </w:rPr>
        <w:t xml:space="preserve"> the context of demand response</w:t>
      </w:r>
      <w:r>
        <w:rPr>
          <w:rFonts w:ascii="Times New Roman" w:hAnsi="Times New Roman" w:cs="Times New Roman"/>
        </w:rPr>
        <w:t xml:space="preserve">. However, the same functionality that enables day-ahead settings changes for demand response purposes will enable seasonal scheduling for interconnection purposes. </w:t>
      </w:r>
    </w:p>
    <w:p w14:paraId="07D87555" w14:textId="77777777" w:rsidR="000673C7" w:rsidRDefault="000673C7" w:rsidP="00DD5ECC">
      <w:pPr>
        <w:rPr>
          <w:rFonts w:ascii="Times New Roman" w:hAnsi="Times New Roman" w:cs="Times New Roman"/>
        </w:rPr>
      </w:pPr>
    </w:p>
    <w:p w14:paraId="0BB0317E" w14:textId="000103CA" w:rsidR="00DD5ECC" w:rsidRDefault="009E3C7C" w:rsidP="00A15E40">
      <w:pPr>
        <w:rPr>
          <w:rFonts w:ascii="Times New Roman" w:hAnsi="Times New Roman" w:cs="Times New Roman"/>
        </w:rPr>
      </w:pPr>
      <w:r>
        <w:rPr>
          <w:rFonts w:ascii="Times New Roman" w:hAnsi="Times New Roman" w:cs="Times New Roman"/>
        </w:rPr>
        <w:t>S</w:t>
      </w:r>
      <w:r w:rsidRPr="009E3C7C">
        <w:rPr>
          <w:rFonts w:ascii="Times New Roman" w:hAnsi="Times New Roman" w:cs="Times New Roman"/>
        </w:rPr>
        <w:t>ince scheduling is likely a few years out</w:t>
      </w:r>
      <w:r w:rsidR="00AE0458">
        <w:rPr>
          <w:rFonts w:ascii="Times New Roman" w:hAnsi="Times New Roman" w:cs="Times New Roman"/>
        </w:rPr>
        <w:t>,</w:t>
      </w:r>
      <w:r w:rsidRPr="009E3C7C">
        <w:rPr>
          <w:rFonts w:ascii="Times New Roman" w:hAnsi="Times New Roman" w:cs="Times New Roman"/>
        </w:rPr>
        <w:t xml:space="preserve"> </w:t>
      </w:r>
      <w:r w:rsidR="00AE0458">
        <w:rPr>
          <w:rFonts w:ascii="Times New Roman" w:hAnsi="Times New Roman" w:cs="Times New Roman"/>
        </w:rPr>
        <w:t>any</w:t>
      </w:r>
      <w:r w:rsidRPr="009E3C7C">
        <w:rPr>
          <w:rFonts w:ascii="Times New Roman" w:hAnsi="Times New Roman" w:cs="Times New Roman"/>
        </w:rPr>
        <w:t xml:space="preserve"> impacts of scheduling</w:t>
      </w:r>
      <w:r w:rsidR="00AE0458">
        <w:rPr>
          <w:rFonts w:ascii="Times New Roman" w:hAnsi="Times New Roman" w:cs="Times New Roman"/>
        </w:rPr>
        <w:t xml:space="preserve"> on modeling ICA do</w:t>
      </w:r>
      <w:r w:rsidRPr="009E3C7C">
        <w:rPr>
          <w:rFonts w:ascii="Times New Roman" w:hAnsi="Times New Roman" w:cs="Times New Roman"/>
        </w:rPr>
        <w:t xml:space="preserve"> not hav</w:t>
      </w:r>
      <w:r w:rsidR="00AE0458">
        <w:rPr>
          <w:rFonts w:ascii="Times New Roman" w:hAnsi="Times New Roman" w:cs="Times New Roman"/>
        </w:rPr>
        <w:t>e to be addressed immediately. Scheduling will give options to customers according to the current methodology for the ICA</w:t>
      </w:r>
      <w:r w:rsidRPr="009E3C7C">
        <w:rPr>
          <w:rFonts w:ascii="Times New Roman" w:hAnsi="Times New Roman" w:cs="Times New Roman"/>
        </w:rPr>
        <w:t>.</w:t>
      </w:r>
      <w:r>
        <w:rPr>
          <w:rFonts w:ascii="Times New Roman" w:hAnsi="Times New Roman" w:cs="Times New Roman"/>
        </w:rPr>
        <w:t xml:space="preserve"> </w:t>
      </w:r>
      <w:r w:rsidR="000673C7">
        <w:rPr>
          <w:rFonts w:ascii="Times New Roman" w:hAnsi="Times New Roman" w:cs="Times New Roman"/>
        </w:rPr>
        <w:t>The rules for scheduling</w:t>
      </w:r>
      <w:r w:rsidR="00697921">
        <w:rPr>
          <w:rFonts w:ascii="Times New Roman" w:hAnsi="Times New Roman" w:cs="Times New Roman"/>
        </w:rPr>
        <w:t xml:space="preserve"> changes to inverter settings</w:t>
      </w:r>
      <w:r w:rsidR="000673C7">
        <w:rPr>
          <w:rFonts w:ascii="Times New Roman" w:hAnsi="Times New Roman" w:cs="Times New Roman"/>
        </w:rPr>
        <w:t xml:space="preserve"> in response to ICA limitations will be developed in R.17-07-017. In this proceeding, the Working Group report simply</w:t>
      </w:r>
      <w:r w:rsidR="00697921">
        <w:rPr>
          <w:rFonts w:ascii="Times New Roman" w:hAnsi="Times New Roman" w:cs="Times New Roman"/>
        </w:rPr>
        <w:t xml:space="preserve"> ne</w:t>
      </w:r>
      <w:r w:rsidR="00746B68">
        <w:rPr>
          <w:rFonts w:ascii="Times New Roman" w:hAnsi="Times New Roman" w:cs="Times New Roman"/>
        </w:rPr>
        <w:t>eds to acknowledge that it is a</w:t>
      </w:r>
      <w:r w:rsidR="00697921">
        <w:rPr>
          <w:rFonts w:ascii="Times New Roman" w:hAnsi="Times New Roman" w:cs="Times New Roman"/>
        </w:rPr>
        <w:t xml:space="preserve"> technically appropriate use of the ICA to schedule changes to inverter settings to alter the generating or load profile during certain periods of the year in order to avoid ICA constraints.</w:t>
      </w:r>
    </w:p>
    <w:p w14:paraId="25B5C183" w14:textId="77777777" w:rsidR="0092379F" w:rsidRDefault="0092379F" w:rsidP="00A15E40">
      <w:pPr>
        <w:rPr>
          <w:rFonts w:ascii="Times New Roman" w:hAnsi="Times New Roman" w:cs="Times New Roman"/>
        </w:rPr>
      </w:pPr>
    </w:p>
    <w:p w14:paraId="258B1D8B" w14:textId="006E6EB8" w:rsidR="0092379F" w:rsidRPr="00E0768F" w:rsidRDefault="0092379F" w:rsidP="0092379F">
      <w:pPr>
        <w:rPr>
          <w:rFonts w:ascii="Times New Roman" w:eastAsiaTheme="minorHAnsi" w:hAnsi="Times New Roman" w:cs="Times New Roman"/>
          <w:b/>
        </w:rPr>
      </w:pPr>
      <w:r w:rsidRPr="00E0768F">
        <w:rPr>
          <w:rFonts w:ascii="Times New Roman" w:eastAsiaTheme="minorHAnsi" w:hAnsi="Times New Roman" w:cs="Times New Roman"/>
          <w:b/>
        </w:rPr>
        <w:t>Volt/Watt</w:t>
      </w:r>
    </w:p>
    <w:p w14:paraId="48CD7F8D" w14:textId="66AAC48A" w:rsidR="0092379F" w:rsidRDefault="00746B68" w:rsidP="00A15E40">
      <w:pPr>
        <w:rPr>
          <w:rFonts w:ascii="Times New Roman" w:hAnsi="Times New Roman" w:cs="Times New Roman"/>
        </w:rPr>
      </w:pPr>
      <w:r>
        <w:rPr>
          <w:rFonts w:ascii="Times New Roman" w:hAnsi="Times New Roman" w:cs="Times New Roman"/>
        </w:rPr>
        <w:t>The Joint Parties agree</w:t>
      </w:r>
      <w:r w:rsidR="0092379F">
        <w:rPr>
          <w:rFonts w:ascii="Times New Roman" w:hAnsi="Times New Roman" w:cs="Times New Roman"/>
        </w:rPr>
        <w:t xml:space="preserve"> that the Volt/Watt function will not increase the ICA value but will allow interconnection of larger systems. The Volt/Watt curve proposed by the utilities in pending advice letters does not require a DER system to reduce production until voltage is </w:t>
      </w:r>
      <w:r w:rsidR="00415830">
        <w:rPr>
          <w:rFonts w:ascii="Times New Roman" w:hAnsi="Times New Roman" w:cs="Times New Roman"/>
        </w:rPr>
        <w:t>above 106</w:t>
      </w:r>
      <w:r w:rsidR="0092379F">
        <w:rPr>
          <w:rFonts w:ascii="Times New Roman" w:hAnsi="Times New Roman" w:cs="Times New Roman"/>
        </w:rPr>
        <w:t xml:space="preserve">% of the </w:t>
      </w:r>
      <w:r w:rsidR="00C52C58">
        <w:rPr>
          <w:rFonts w:ascii="Times New Roman" w:hAnsi="Times New Roman" w:cs="Times New Roman"/>
        </w:rPr>
        <w:t>nominal voltage</w:t>
      </w:r>
      <w:r w:rsidR="0092379F">
        <w:rPr>
          <w:rFonts w:ascii="Times New Roman" w:hAnsi="Times New Roman" w:cs="Times New Roman"/>
        </w:rPr>
        <w:t xml:space="preserve">. This is </w:t>
      </w:r>
      <w:r w:rsidR="00415830">
        <w:rPr>
          <w:rFonts w:ascii="Times New Roman" w:hAnsi="Times New Roman" w:cs="Times New Roman"/>
        </w:rPr>
        <w:t xml:space="preserve">above </w:t>
      </w:r>
      <w:r w:rsidR="0092379F">
        <w:rPr>
          <w:rFonts w:ascii="Times New Roman" w:hAnsi="Times New Roman" w:cs="Times New Roman"/>
        </w:rPr>
        <w:t>the upper limi</w:t>
      </w:r>
      <w:r w:rsidR="001825F4">
        <w:rPr>
          <w:rFonts w:ascii="Times New Roman" w:hAnsi="Times New Roman" w:cs="Times New Roman"/>
        </w:rPr>
        <w:t>t of the acceptable ANSI range, meaning that utilities should be managing the circuit in ways that ensure that level is only reached on very rare occasions.</w:t>
      </w:r>
      <w:r w:rsidR="00415830">
        <w:rPr>
          <w:rFonts w:ascii="Times New Roman" w:hAnsi="Times New Roman" w:cs="Times New Roman"/>
        </w:rPr>
        <w:t xml:space="preserve"> The Volt/Watt function may be employed on circuits that have unstable voltage despite the utilities’ efforts to kee</w:t>
      </w:r>
      <w:r w:rsidR="00A91F91">
        <w:rPr>
          <w:rFonts w:ascii="Times New Roman" w:hAnsi="Times New Roman" w:cs="Times New Roman"/>
        </w:rPr>
        <w:t>p voltage within range, but that</w:t>
      </w:r>
      <w:r w:rsidR="00415830">
        <w:rPr>
          <w:rFonts w:ascii="Times New Roman" w:hAnsi="Times New Roman" w:cs="Times New Roman"/>
        </w:rPr>
        <w:t xml:space="preserve"> is not a scenario the utilities should plan for. </w:t>
      </w:r>
    </w:p>
    <w:p w14:paraId="7EEFE36F" w14:textId="77777777" w:rsidR="001825F4" w:rsidRDefault="001825F4" w:rsidP="00A15E40">
      <w:pPr>
        <w:rPr>
          <w:rFonts w:ascii="Times New Roman" w:hAnsi="Times New Roman" w:cs="Times New Roman"/>
        </w:rPr>
      </w:pPr>
    </w:p>
    <w:p w14:paraId="79D0652B" w14:textId="588EB26B" w:rsidR="001825F4" w:rsidRDefault="00C52C58" w:rsidP="00A15E40">
      <w:pPr>
        <w:rPr>
          <w:rFonts w:ascii="Times New Roman" w:hAnsi="Times New Roman" w:cs="Times New Roman"/>
        </w:rPr>
      </w:pPr>
      <w:r>
        <w:rPr>
          <w:rFonts w:ascii="Times New Roman" w:hAnsi="Times New Roman" w:cs="Times New Roman"/>
        </w:rPr>
        <w:t>To the extent that DERs are assumed to provide a negative impact when the c</w:t>
      </w:r>
      <w:r w:rsidR="00746B68">
        <w:rPr>
          <w:rFonts w:ascii="Times New Roman" w:hAnsi="Times New Roman" w:cs="Times New Roman"/>
        </w:rPr>
        <w:t>ircuit segment is at or near 106</w:t>
      </w:r>
      <w:r>
        <w:rPr>
          <w:rFonts w:ascii="Times New Roman" w:hAnsi="Times New Roman" w:cs="Times New Roman"/>
        </w:rPr>
        <w:t>% of the nominal voltage, that impact should not be applied for inverter-based DERs with Volt/Watt functionality. This will allow larger DERs to be allowed within the ICA values.</w:t>
      </w:r>
    </w:p>
    <w:p w14:paraId="0F238136" w14:textId="77777777" w:rsidR="00C52C58" w:rsidRDefault="00C52C58" w:rsidP="00A15E40">
      <w:pPr>
        <w:rPr>
          <w:rFonts w:ascii="Times New Roman" w:hAnsi="Times New Roman" w:cs="Times New Roman"/>
        </w:rPr>
      </w:pPr>
    </w:p>
    <w:p w14:paraId="60B51FB1" w14:textId="5FA17E0B" w:rsidR="00C52C58" w:rsidRDefault="00415830" w:rsidP="00A15E40">
      <w:pPr>
        <w:rPr>
          <w:rFonts w:ascii="Times New Roman" w:hAnsi="Times New Roman" w:cs="Times New Roman"/>
        </w:rPr>
      </w:pPr>
      <w:r>
        <w:rPr>
          <w:rFonts w:ascii="Times New Roman" w:hAnsi="Times New Roman" w:cs="Times New Roman"/>
        </w:rPr>
        <w:t>The utilities propose to study the impacts on ICA of having Volt/</w:t>
      </w:r>
      <w:proofErr w:type="spellStart"/>
      <w:r>
        <w:rPr>
          <w:rFonts w:ascii="Times New Roman" w:hAnsi="Times New Roman" w:cs="Times New Roman"/>
        </w:rPr>
        <w:t>Var</w:t>
      </w:r>
      <w:proofErr w:type="spellEnd"/>
      <w:r>
        <w:rPr>
          <w:rFonts w:ascii="Times New Roman" w:hAnsi="Times New Roman" w:cs="Times New Roman"/>
        </w:rPr>
        <w:t xml:space="preserve"> functionality in combination with Volt/Watt as compared to only having Volt/Watt</w:t>
      </w:r>
      <w:r w:rsidR="00A91F91">
        <w:rPr>
          <w:rFonts w:ascii="Times New Roman" w:hAnsi="Times New Roman" w:cs="Times New Roman"/>
        </w:rPr>
        <w:t>. It is not clear to the non-utility p</w:t>
      </w:r>
      <w:r>
        <w:rPr>
          <w:rFonts w:ascii="Times New Roman" w:hAnsi="Times New Roman" w:cs="Times New Roman"/>
        </w:rPr>
        <w:t>arties why this is a useful analysis.</w:t>
      </w:r>
      <w:r w:rsidR="00746B68">
        <w:rPr>
          <w:rFonts w:ascii="Times New Roman" w:hAnsi="Times New Roman" w:cs="Times New Roman"/>
        </w:rPr>
        <w:t xml:space="preserve"> The SIWG has accepted that both functions can work in tandem.</w:t>
      </w:r>
      <w:r>
        <w:rPr>
          <w:rFonts w:ascii="Times New Roman" w:hAnsi="Times New Roman" w:cs="Times New Roman"/>
        </w:rPr>
        <w:t xml:space="preserve"> The utilities should be including both functions for purpose of ICA calculation.</w:t>
      </w:r>
      <w:r w:rsidR="00746B68">
        <w:rPr>
          <w:rFonts w:ascii="Times New Roman" w:hAnsi="Times New Roman" w:cs="Times New Roman"/>
        </w:rPr>
        <w:t xml:space="preserve"> </w:t>
      </w:r>
    </w:p>
    <w:p w14:paraId="0E96A97C" w14:textId="77777777" w:rsidR="004D34D5" w:rsidRDefault="004D34D5" w:rsidP="00A15E40">
      <w:pPr>
        <w:rPr>
          <w:rFonts w:ascii="Times New Roman" w:hAnsi="Times New Roman" w:cs="Times New Roman"/>
        </w:rPr>
      </w:pPr>
    </w:p>
    <w:p w14:paraId="39C987F9" w14:textId="1577B163" w:rsidR="004D34D5" w:rsidRPr="004D34D5" w:rsidRDefault="004D34D5" w:rsidP="00A15E40">
      <w:pPr>
        <w:rPr>
          <w:rFonts w:ascii="Times New Roman" w:hAnsi="Times New Roman" w:cs="Times New Roman"/>
        </w:rPr>
      </w:pPr>
      <w:bookmarkStart w:id="0" w:name="_GoBack"/>
      <w:bookmarkEnd w:id="0"/>
    </w:p>
    <w:sectPr w:rsidR="004D34D5" w:rsidRPr="004D34D5" w:rsidSect="00D1559F">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CC30BC" w14:textId="77777777" w:rsidR="00A91F91" w:rsidRDefault="00A91F91" w:rsidP="0040611D">
      <w:r>
        <w:separator/>
      </w:r>
    </w:p>
  </w:endnote>
  <w:endnote w:type="continuationSeparator" w:id="0">
    <w:p w14:paraId="08338047" w14:textId="77777777" w:rsidR="00A91F91" w:rsidRDefault="00A91F91" w:rsidP="00406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4CF2D9" w14:textId="77777777" w:rsidR="00A91F91" w:rsidRDefault="00A91F91" w:rsidP="0040611D">
      <w:r>
        <w:separator/>
      </w:r>
    </w:p>
  </w:footnote>
  <w:footnote w:type="continuationSeparator" w:id="0">
    <w:p w14:paraId="5512C200" w14:textId="77777777" w:rsidR="00A91F91" w:rsidRDefault="00A91F91" w:rsidP="0040611D">
      <w:r>
        <w:continuationSeparator/>
      </w:r>
    </w:p>
  </w:footnote>
  <w:footnote w:id="1">
    <w:p w14:paraId="1927CC53" w14:textId="56142F01" w:rsidR="00A91F91" w:rsidRPr="00E0768F" w:rsidRDefault="00A91F91" w:rsidP="00E0768F">
      <w:pPr>
        <w:widowControl w:val="0"/>
        <w:autoSpaceDE w:val="0"/>
        <w:autoSpaceDN w:val="0"/>
        <w:adjustRightInd w:val="0"/>
        <w:ind w:left="360" w:hanging="360"/>
        <w:rPr>
          <w:rFonts w:cs="Times New Roman"/>
          <w:sz w:val="22"/>
          <w:szCs w:val="22"/>
        </w:rPr>
      </w:pPr>
      <w:r w:rsidRPr="00E0768F">
        <w:rPr>
          <w:rStyle w:val="FootnoteReference"/>
          <w:sz w:val="22"/>
          <w:szCs w:val="22"/>
        </w:rPr>
        <w:footnoteRef/>
      </w:r>
      <w:r w:rsidRPr="00E0768F">
        <w:rPr>
          <w:sz w:val="22"/>
          <w:szCs w:val="22"/>
        </w:rPr>
        <w:t xml:space="preserve"> </w:t>
      </w:r>
      <w:r w:rsidRPr="00E0768F">
        <w:rPr>
          <w:sz w:val="22"/>
          <w:szCs w:val="22"/>
        </w:rPr>
        <w:tab/>
        <w:t>“</w:t>
      </w:r>
      <w:r w:rsidRPr="00E0768F">
        <w:rPr>
          <w:rFonts w:cs="Times New Roman"/>
          <w:sz w:val="22"/>
          <w:szCs w:val="22"/>
        </w:rPr>
        <w:t>Assigned Commissioner’s Ruling on the Adoption of Distributed Energy Resources Growth Scenarios,” August 9, 2017.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504A33"/>
    <w:multiLevelType w:val="hybridMultilevel"/>
    <w:tmpl w:val="AB2E7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0ABC"/>
    <w:rsid w:val="00065428"/>
    <w:rsid w:val="000673C7"/>
    <w:rsid w:val="00181C89"/>
    <w:rsid w:val="001825F4"/>
    <w:rsid w:val="0040611D"/>
    <w:rsid w:val="00415830"/>
    <w:rsid w:val="00487408"/>
    <w:rsid w:val="004C0166"/>
    <w:rsid w:val="004D34D5"/>
    <w:rsid w:val="00697921"/>
    <w:rsid w:val="00746B68"/>
    <w:rsid w:val="00774494"/>
    <w:rsid w:val="0092379F"/>
    <w:rsid w:val="009E3C7C"/>
    <w:rsid w:val="00A15E40"/>
    <w:rsid w:val="00A91F91"/>
    <w:rsid w:val="00AE0458"/>
    <w:rsid w:val="00C52C58"/>
    <w:rsid w:val="00CF360B"/>
    <w:rsid w:val="00D1559F"/>
    <w:rsid w:val="00D802E4"/>
    <w:rsid w:val="00DC77C6"/>
    <w:rsid w:val="00DD5ECC"/>
    <w:rsid w:val="00E0768F"/>
    <w:rsid w:val="00E77F58"/>
    <w:rsid w:val="00EF0ABC"/>
    <w:rsid w:val="00F001BF"/>
    <w:rsid w:val="00FB1F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4F9A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0ABC"/>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ABC"/>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EF0ABC"/>
    <w:pPr>
      <w:spacing w:after="160" w:line="259" w:lineRule="auto"/>
      <w:ind w:left="720"/>
      <w:contextualSpacing/>
    </w:pPr>
    <w:rPr>
      <w:rFonts w:eastAsiaTheme="minorHAnsi"/>
      <w:sz w:val="22"/>
      <w:szCs w:val="22"/>
    </w:rPr>
  </w:style>
  <w:style w:type="paragraph" w:styleId="Title">
    <w:name w:val="Title"/>
    <w:basedOn w:val="Normal"/>
    <w:next w:val="Normal"/>
    <w:link w:val="TitleChar"/>
    <w:uiPriority w:val="10"/>
    <w:qFormat/>
    <w:rsid w:val="00EF0AB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ABC"/>
    <w:pPr>
      <w:numPr>
        <w:ilvl w:val="1"/>
      </w:numPr>
      <w:spacing w:after="160" w:line="259" w:lineRule="auto"/>
    </w:pPr>
    <w:rPr>
      <w:color w:val="5A5A5A" w:themeColor="text1" w:themeTint="A5"/>
      <w:spacing w:val="15"/>
      <w:sz w:val="22"/>
      <w:szCs w:val="22"/>
    </w:rPr>
  </w:style>
  <w:style w:type="character" w:customStyle="1" w:styleId="SubtitleChar">
    <w:name w:val="Subtitle Char"/>
    <w:basedOn w:val="DefaultParagraphFont"/>
    <w:link w:val="Subtitle"/>
    <w:uiPriority w:val="11"/>
    <w:rsid w:val="00EF0ABC"/>
    <w:rPr>
      <w:color w:val="5A5A5A" w:themeColor="text1" w:themeTint="A5"/>
      <w:spacing w:val="15"/>
      <w:sz w:val="22"/>
      <w:szCs w:val="22"/>
    </w:rPr>
  </w:style>
  <w:style w:type="paragraph" w:styleId="FootnoteText">
    <w:name w:val="footnote text"/>
    <w:basedOn w:val="Normal"/>
    <w:link w:val="FootnoteTextChar"/>
    <w:uiPriority w:val="99"/>
    <w:unhideWhenUsed/>
    <w:rsid w:val="0040611D"/>
  </w:style>
  <w:style w:type="character" w:customStyle="1" w:styleId="FootnoteTextChar">
    <w:name w:val="Footnote Text Char"/>
    <w:basedOn w:val="DefaultParagraphFont"/>
    <w:link w:val="FootnoteText"/>
    <w:uiPriority w:val="99"/>
    <w:rsid w:val="0040611D"/>
  </w:style>
  <w:style w:type="character" w:styleId="FootnoteReference">
    <w:name w:val="footnote reference"/>
    <w:basedOn w:val="DefaultParagraphFont"/>
    <w:uiPriority w:val="99"/>
    <w:unhideWhenUsed/>
    <w:rsid w:val="0040611D"/>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0ABC"/>
    <w:pPr>
      <w:keepNext/>
      <w:keepLines/>
      <w:spacing w:before="240" w:line="259"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ABC"/>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EF0ABC"/>
    <w:pPr>
      <w:spacing w:after="160" w:line="259" w:lineRule="auto"/>
      <w:ind w:left="720"/>
      <w:contextualSpacing/>
    </w:pPr>
    <w:rPr>
      <w:rFonts w:eastAsiaTheme="minorHAnsi"/>
      <w:sz w:val="22"/>
      <w:szCs w:val="22"/>
    </w:rPr>
  </w:style>
  <w:style w:type="paragraph" w:styleId="Title">
    <w:name w:val="Title"/>
    <w:basedOn w:val="Normal"/>
    <w:next w:val="Normal"/>
    <w:link w:val="TitleChar"/>
    <w:uiPriority w:val="10"/>
    <w:qFormat/>
    <w:rsid w:val="00EF0AB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A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ABC"/>
    <w:pPr>
      <w:numPr>
        <w:ilvl w:val="1"/>
      </w:numPr>
      <w:spacing w:after="160" w:line="259" w:lineRule="auto"/>
    </w:pPr>
    <w:rPr>
      <w:color w:val="5A5A5A" w:themeColor="text1" w:themeTint="A5"/>
      <w:spacing w:val="15"/>
      <w:sz w:val="22"/>
      <w:szCs w:val="22"/>
    </w:rPr>
  </w:style>
  <w:style w:type="character" w:customStyle="1" w:styleId="SubtitleChar">
    <w:name w:val="Subtitle Char"/>
    <w:basedOn w:val="DefaultParagraphFont"/>
    <w:link w:val="Subtitle"/>
    <w:uiPriority w:val="11"/>
    <w:rsid w:val="00EF0ABC"/>
    <w:rPr>
      <w:color w:val="5A5A5A" w:themeColor="text1" w:themeTint="A5"/>
      <w:spacing w:val="15"/>
      <w:sz w:val="22"/>
      <w:szCs w:val="22"/>
    </w:rPr>
  </w:style>
  <w:style w:type="paragraph" w:styleId="FootnoteText">
    <w:name w:val="footnote text"/>
    <w:basedOn w:val="Normal"/>
    <w:link w:val="FootnoteTextChar"/>
    <w:uiPriority w:val="99"/>
    <w:unhideWhenUsed/>
    <w:rsid w:val="0040611D"/>
  </w:style>
  <w:style w:type="character" w:customStyle="1" w:styleId="FootnoteTextChar">
    <w:name w:val="Footnote Text Char"/>
    <w:basedOn w:val="DefaultParagraphFont"/>
    <w:link w:val="FootnoteText"/>
    <w:uiPriority w:val="99"/>
    <w:rsid w:val="0040611D"/>
  </w:style>
  <w:style w:type="character" w:styleId="FootnoteReference">
    <w:name w:val="footnote reference"/>
    <w:basedOn w:val="DefaultParagraphFont"/>
    <w:uiPriority w:val="99"/>
    <w:unhideWhenUsed/>
    <w:rsid w:val="004061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3</Pages>
  <Words>909</Words>
  <Characters>5182</Characters>
  <Application>Microsoft Macintosh Word</Application>
  <DocSecurity>0</DocSecurity>
  <Lines>43</Lines>
  <Paragraphs>12</Paragraphs>
  <ScaleCrop>false</ScaleCrop>
  <Company/>
  <LinksUpToDate>false</LinksUpToDate>
  <CharactersWithSpaces>6079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 Heavner</dc:creator>
  <cp:keywords/>
  <dc:description/>
  <cp:lastModifiedBy>Brad Heavner</cp:lastModifiedBy>
  <cp:revision>17</cp:revision>
  <dcterms:created xsi:type="dcterms:W3CDTF">2017-08-25T15:49:00Z</dcterms:created>
  <dcterms:modified xsi:type="dcterms:W3CDTF">2017-08-30T05:55:00Z</dcterms:modified>
</cp:coreProperties>
</file>