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5D6F3" w14:textId="3C9B8F70" w:rsidR="00062F4C" w:rsidRPr="006B3453" w:rsidRDefault="00353602" w:rsidP="004A57AB">
      <w:pPr>
        <w:pStyle w:val="Title"/>
        <w:rPr>
          <w:sz w:val="48"/>
        </w:rPr>
      </w:pPr>
      <w:r>
        <w:rPr>
          <w:sz w:val="48"/>
        </w:rPr>
        <w:t xml:space="preserve">Items B, C, and D: Ways to make ICA information more user friendly and easily accessible (data sharing), Interactive ICA maps, and Market sensitive information </w:t>
      </w:r>
    </w:p>
    <w:p w14:paraId="7D43CA11" w14:textId="0258305E" w:rsidR="00062F4C" w:rsidRDefault="00353602" w:rsidP="004A57AB">
      <w:pPr>
        <w:pStyle w:val="Subtitle"/>
        <w:spacing w:after="0"/>
      </w:pPr>
      <w:r>
        <w:t>More Than Smart summary, for WG review</w:t>
      </w:r>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30BA6F6" w14:textId="52ADECC7" w:rsidR="00062F4C" w:rsidRDefault="00313677" w:rsidP="00353602">
      <w:pPr>
        <w:pStyle w:val="ListParagraph"/>
        <w:numPr>
          <w:ilvl w:val="0"/>
          <w:numId w:val="1"/>
        </w:numPr>
        <w:spacing w:after="0"/>
      </w:pPr>
      <w:r>
        <w:t xml:space="preserve">IOUs will </w:t>
      </w:r>
      <w:r w:rsidR="00BD77FB">
        <w:t xml:space="preserve">include refinements to 1) load profiles display, 2) color display, and 3) range display within the first system roll out. </w:t>
      </w:r>
    </w:p>
    <w:p w14:paraId="75617637" w14:textId="36F326D2" w:rsidR="00BD77FB" w:rsidRDefault="00BD77FB" w:rsidP="00353602">
      <w:pPr>
        <w:pStyle w:val="ListParagraph"/>
        <w:numPr>
          <w:ilvl w:val="0"/>
          <w:numId w:val="1"/>
        </w:numPr>
        <w:spacing w:after="0"/>
      </w:pPr>
      <w:r>
        <w:t xml:space="preserve">CALSEIA will arrange another conversation with DER developers and the joint IOUs on the functionality and usability of the ICA tool, to inform the user guide, map display, and potential development of an API. </w:t>
      </w:r>
      <w:bookmarkStart w:id="0" w:name="_GoBack"/>
      <w:bookmarkEnd w:id="0"/>
    </w:p>
    <w:p w14:paraId="3D12A87E" w14:textId="1DA33EC9" w:rsidR="00BD77FB" w:rsidRDefault="00BD77FB" w:rsidP="00353602">
      <w:pPr>
        <w:pStyle w:val="ListParagraph"/>
        <w:numPr>
          <w:ilvl w:val="0"/>
          <w:numId w:val="1"/>
        </w:numPr>
        <w:spacing w:after="0"/>
      </w:pPr>
      <w:r>
        <w:t xml:space="preserve">Stakeholders will provide additional information on what should be included in the ICA User Guide. It is not yet determined whether the User Guide will be available by the first system roll out. </w:t>
      </w:r>
    </w:p>
    <w:p w14:paraId="27714917" w14:textId="4F4B9F87" w:rsidR="00062F4C" w:rsidRDefault="00062F4C" w:rsidP="008E7279">
      <w:pPr>
        <w:pStyle w:val="Heading1"/>
        <w:spacing w:before="0"/>
      </w:pPr>
      <w:r>
        <w:t>Introduction and Background</w:t>
      </w:r>
    </w:p>
    <w:p w14:paraId="566D653E" w14:textId="32A34EF8" w:rsidR="00B12CA6" w:rsidRDefault="00B75C59" w:rsidP="00F445F4">
      <w:r>
        <w:t xml:space="preserve">During the development and review of Demo A, the Working Group agreed that the </w:t>
      </w:r>
      <w:r w:rsidR="00F445F4">
        <w:t xml:space="preserve">joint IOUs should work to standardize the map and downloadable data set format for the first system rollout, and that additional </w:t>
      </w:r>
      <w:r w:rsidR="00353602">
        <w:t>enhancements to maps for the full system roll-out may be added by the utilities as allowed by their tools and respective limitations.</w:t>
      </w:r>
    </w:p>
    <w:p w14:paraId="507780B9" w14:textId="3596DFDC" w:rsidR="00B75C59" w:rsidRDefault="00F445F4" w:rsidP="00B12CA6">
      <w:r>
        <w:t xml:space="preserve">All IOUs make the following information available via downloadable data set from their Demo A projects: 1) Demo A final report; 2) ICA Translator; 3) load profiles; 4) customer type breakdown; 5) detailed ICA results by circuit. </w:t>
      </w:r>
      <w:r w:rsidR="00B75C59">
        <w:t>The WG agrees that the following attributes should be available across all three IOU maps: 1) circuit; 2) section ID; 3) voltage (kV); 4) substation; 5) system15; 6) customer breakdown percentage (agriculture, commercial, industrial, residential, other); 7) existing generation (MW); 8) queued generation (MW); 9) total generation (MW); 10) ICA with uniform generation (MW); 11) ICA with uniform load (MW); 12) integration capacity of a generic PV system (MW).</w:t>
      </w:r>
    </w:p>
    <w:p w14:paraId="5DB48869" w14:textId="7E6FD504" w:rsidR="00B75C59" w:rsidRDefault="00F445F4" w:rsidP="00B12CA6">
      <w:r>
        <w:t xml:space="preserve">For additional enhancements, the Working group should discuss whether the addition may be included within the first system-wide rollout, as well as an estimate of associated IT requirements and potential costs. </w:t>
      </w:r>
    </w:p>
    <w:p w14:paraId="400DC907" w14:textId="5B3226DF" w:rsidR="00062F4C" w:rsidRDefault="00062F4C" w:rsidP="00271716">
      <w:pPr>
        <w:autoSpaceDE w:val="0"/>
        <w:autoSpaceDN w:val="0"/>
        <w:adjustRightInd w:val="0"/>
        <w:spacing w:after="0" w:line="240" w:lineRule="auto"/>
      </w:pPr>
      <w:r w:rsidRPr="00B12CA6">
        <w:rPr>
          <w:rFonts w:asciiTheme="majorHAnsi" w:eastAsiaTheme="majorEastAsia" w:hAnsiTheme="majorHAnsi" w:cstheme="majorBidi"/>
          <w:color w:val="2E74B5" w:themeColor="accent1" w:themeShade="BF"/>
          <w:sz w:val="32"/>
          <w:szCs w:val="32"/>
        </w:rPr>
        <w:t>Discussion</w:t>
      </w:r>
    </w:p>
    <w:p w14:paraId="7887B227" w14:textId="4033B6FB" w:rsidR="00F445F4" w:rsidRDefault="00F445F4" w:rsidP="00B12CA6">
      <w:r>
        <w:t xml:space="preserve">The Working Group discussed these three ACR combined items at the October in-person meeting. In addition to identified asks from stakeholders, the conversation was informed by a one-hour “Introduction to ICA” webinar aimed at DER developers, which gave additional insight on what modifications may make the ICA maps and downloadable data sets more user friendly. </w:t>
      </w:r>
    </w:p>
    <w:p w14:paraId="25EEA1BC" w14:textId="72DB6A33" w:rsidR="00F445F4" w:rsidRDefault="00327D88" w:rsidP="00194060">
      <w:pPr>
        <w:spacing w:after="0" w:line="240" w:lineRule="auto"/>
      </w:pPr>
      <w:r>
        <w:lastRenderedPageBreak/>
        <w:t>The following items have been identified so far as additional refinements to increase data sharing and usability of the ICA tool, within the interconnection use case:</w:t>
      </w:r>
    </w:p>
    <w:p w14:paraId="625E13F1" w14:textId="750D8BF3" w:rsidR="00327D88" w:rsidRDefault="00327D88" w:rsidP="002A2EAA">
      <w:pPr>
        <w:spacing w:after="0" w:line="240" w:lineRule="auto"/>
      </w:pPr>
    </w:p>
    <w:p w14:paraId="23BEEEA7" w14:textId="4C9313E6" w:rsidR="002A2EAA" w:rsidRDefault="002A2EAA" w:rsidP="004E2596">
      <w:pPr>
        <w:pStyle w:val="Heading3"/>
      </w:pPr>
      <w:r>
        <w:t xml:space="preserve">Development of an </w:t>
      </w:r>
      <w:r w:rsidR="004E2596">
        <w:t xml:space="preserve">Queryable </w:t>
      </w:r>
      <w:r>
        <w:t>API</w:t>
      </w:r>
    </w:p>
    <w:p w14:paraId="506B917D" w14:textId="68A0C80D" w:rsidR="004E2596" w:rsidRPr="004E2596" w:rsidRDefault="004E2596" w:rsidP="004E2596">
      <w:r>
        <w:t xml:space="preserve">DER developers and some Working Group members have identified the development of a queryable application programming interface for </w:t>
      </w:r>
      <w:r w:rsidR="00ED56FE">
        <w:t>the ICA tool to support search functions and possible integration with other tools. It is suggested that a good first step would be to understand what type of data developers are looking for, and in what format</w:t>
      </w:r>
      <w:r w:rsidR="00A455A6">
        <w:t>, before the joint IOUs determine feasibility with their respective IT departments</w:t>
      </w:r>
      <w:r w:rsidR="009652D4">
        <w:t xml:space="preserve">. </w:t>
      </w:r>
      <w:r w:rsidR="00ED56FE">
        <w:t xml:space="preserve">The WG should also consider the applications of this request within the Rule 21 proceeding. </w:t>
      </w:r>
    </w:p>
    <w:p w14:paraId="39998FE8" w14:textId="2152D271" w:rsidR="002B3254" w:rsidRDefault="002B3254" w:rsidP="002B3254">
      <w:pPr>
        <w:spacing w:after="0" w:line="240" w:lineRule="auto"/>
      </w:pPr>
    </w:p>
    <w:p w14:paraId="0160028F" w14:textId="2D45B574" w:rsidR="002B3254" w:rsidRDefault="002B3254" w:rsidP="00A455A6">
      <w:pPr>
        <w:pStyle w:val="Heading3"/>
      </w:pPr>
      <w:r>
        <w:t>Map key</w:t>
      </w:r>
      <w:r w:rsidR="00EB70C2">
        <w:t xml:space="preserve"> and other map enhancements</w:t>
      </w:r>
    </w:p>
    <w:p w14:paraId="405EF2DC" w14:textId="22B8B895" w:rsidR="00A455A6" w:rsidRDefault="00A455A6" w:rsidP="00A455A6">
      <w:r>
        <w:t>WG mem</w:t>
      </w:r>
      <w:r w:rsidR="007006C8">
        <w:t xml:space="preserve">bers agreed that the joint IOUs </w:t>
      </w:r>
      <w:r>
        <w:t>should use the same key and color scheme to represent inte</w:t>
      </w:r>
      <w:r w:rsidR="002C0DAD">
        <w:t xml:space="preserve">gration capacity on the maps. First, the color ranges </w:t>
      </w:r>
      <w:r w:rsidR="007006C8">
        <w:t>used to indicate hosting capacity ranges should be uniform across the IOUs. The Working Group discussed that red should represent a lower ICA (closer to the limit) and green should represent a higher ICA. The range that the colors represent should also be uniform. The Working Group discussed whether a fixed (e.g., MW increment) or relative range (e.g., 20% increments over the specific circuit) would be more useful.</w:t>
      </w:r>
      <w:r w:rsidR="00BD77FB">
        <w:t xml:space="preserve"> While the WG did not come to a conclusion, it agreed to pose the question to DER developers for input. </w:t>
      </w:r>
    </w:p>
    <w:p w14:paraId="7351101E" w14:textId="77777777" w:rsidR="00EB70C2" w:rsidRDefault="00EB70C2" w:rsidP="007006C8">
      <w:pPr>
        <w:spacing w:after="0" w:line="240" w:lineRule="auto"/>
      </w:pPr>
    </w:p>
    <w:p w14:paraId="7503FB3E" w14:textId="7A24B25A" w:rsidR="002B3254" w:rsidRDefault="00EB70C2" w:rsidP="007006C8">
      <w:pPr>
        <w:spacing w:after="0" w:line="240" w:lineRule="auto"/>
      </w:pPr>
      <w:r>
        <w:t>In addition to the map key, WG members identified several additional enhancements. First,</w:t>
      </w:r>
      <w:r w:rsidR="007006C8">
        <w:t xml:space="preserve"> joint IOUs are asked to standardize how load profiles are displayed on the maps, using the same labelled axis units.</w:t>
      </w:r>
      <w:r>
        <w:t xml:space="preserve"> The WG discussed how the primary criteria violation is identified and whether it should be shown on the map as well as within the downloadable data set. It was discussed that displaying the primary violation directly on the map interface may be too misleading or simplistic, and that the </w:t>
      </w:r>
      <w:r w:rsidR="007D5DB8">
        <w:t xml:space="preserve">way it is displayed now in the downloadable Excel file may be sufficient. The joint IOUs also discussed that some of the load profile information may fall under customer confidentiality issues. It was suggested that, for data that can’t be published, the ICA map should make a note of why the data is unavailable rather than showing a blank. Finally, stakeholders requested that the RAM map be available either as a toggle or a separate tab as part of the ICA map interface. </w:t>
      </w:r>
    </w:p>
    <w:p w14:paraId="4DC02400" w14:textId="6AD4B40D" w:rsidR="008318C9" w:rsidRDefault="008318C9" w:rsidP="007006C8">
      <w:pPr>
        <w:spacing w:after="0" w:line="240" w:lineRule="auto"/>
      </w:pPr>
    </w:p>
    <w:p w14:paraId="7D0C4158" w14:textId="127F6842" w:rsidR="007006C8" w:rsidRDefault="007D5DB8" w:rsidP="007006C8">
      <w:pPr>
        <w:spacing w:after="0" w:line="240" w:lineRule="auto"/>
      </w:pPr>
      <w:r>
        <w:t>It was suggested that t</w:t>
      </w:r>
      <w:r w:rsidR="007006C8">
        <w:t xml:space="preserve">hese </w:t>
      </w:r>
      <w:r>
        <w:t>changes may</w:t>
      </w:r>
      <w:r w:rsidR="006523A8">
        <w:t xml:space="preserve"> be included within the first system-wide roll out.</w:t>
      </w:r>
    </w:p>
    <w:p w14:paraId="7DF19A61" w14:textId="435546DC" w:rsidR="006523A8" w:rsidRDefault="006523A8" w:rsidP="007006C8">
      <w:pPr>
        <w:spacing w:after="0" w:line="240" w:lineRule="auto"/>
      </w:pPr>
    </w:p>
    <w:p w14:paraId="398C4D2C" w14:textId="45C693F5" w:rsidR="006523A8" w:rsidRDefault="007D5DB8" w:rsidP="007D5DB8">
      <w:pPr>
        <w:pStyle w:val="Heading3"/>
      </w:pPr>
      <w:r>
        <w:t>ICA User Guide</w:t>
      </w:r>
    </w:p>
    <w:p w14:paraId="6E270A76" w14:textId="2EDFF38A" w:rsidR="007D5DB8" w:rsidRDefault="007D5DB8" w:rsidP="007D5DB8">
      <w:r>
        <w:t xml:space="preserve">WG members agreed that an ICA User Guide should be created </w:t>
      </w:r>
      <w:r w:rsidR="009808AD">
        <w:t xml:space="preserve">to </w:t>
      </w:r>
      <w:r w:rsidR="00242EFE">
        <w:t>facilitate the use of the ICA tool by developers. This user guide should cover the following:</w:t>
      </w:r>
    </w:p>
    <w:p w14:paraId="608EB20C" w14:textId="2DE585F3" w:rsidR="00242EFE" w:rsidRDefault="00242EFE" w:rsidP="00242EFE">
      <w:pPr>
        <w:pStyle w:val="ListParagraph"/>
        <w:numPr>
          <w:ilvl w:val="0"/>
          <w:numId w:val="9"/>
        </w:numPr>
      </w:pPr>
      <w:r>
        <w:t>How to access and understand the downloadable Excel file</w:t>
      </w:r>
    </w:p>
    <w:p w14:paraId="595087EE" w14:textId="214C75E4" w:rsidR="00242EFE" w:rsidRDefault="00242EFE" w:rsidP="00242EFE">
      <w:pPr>
        <w:pStyle w:val="ListParagraph"/>
        <w:numPr>
          <w:ilvl w:val="0"/>
          <w:numId w:val="9"/>
        </w:numPr>
      </w:pPr>
      <w:r>
        <w:t>Explanation of the operational flexibility ICA number</w:t>
      </w:r>
    </w:p>
    <w:p w14:paraId="0D53745D" w14:textId="4BAC4BD3" w:rsidR="00242EFE" w:rsidRDefault="00242EFE" w:rsidP="00242EFE">
      <w:pPr>
        <w:pStyle w:val="ListParagraph"/>
        <w:numPr>
          <w:ilvl w:val="0"/>
          <w:numId w:val="9"/>
        </w:numPr>
      </w:pPr>
      <w:r>
        <w:t>How to use the ICA Translator tool</w:t>
      </w:r>
    </w:p>
    <w:p w14:paraId="156C670D" w14:textId="7805D171" w:rsidR="00242EFE" w:rsidRDefault="00242EFE" w:rsidP="008318C9">
      <w:pPr>
        <w:spacing w:after="0" w:line="240" w:lineRule="auto"/>
      </w:pPr>
      <w:r>
        <w:t>(Time estimate of when this will be available?)</w:t>
      </w:r>
    </w:p>
    <w:p w14:paraId="7933106F" w14:textId="1B53C7E3" w:rsidR="004E2596" w:rsidRDefault="004E2596" w:rsidP="004E2596">
      <w:pPr>
        <w:spacing w:after="0" w:line="240" w:lineRule="auto"/>
      </w:pPr>
    </w:p>
    <w:p w14:paraId="07407418" w14:textId="77777777" w:rsidR="00062F4C" w:rsidRDefault="00062F4C" w:rsidP="004A57AB">
      <w:pPr>
        <w:pStyle w:val="Heading1"/>
        <w:spacing w:before="0"/>
      </w:pPr>
      <w:r>
        <w:lastRenderedPageBreak/>
        <w:t>Conclusion and Next Steps</w:t>
      </w:r>
    </w:p>
    <w:p w14:paraId="2D1C0DCC" w14:textId="128C205B" w:rsidR="00242EFE" w:rsidRDefault="00242EFE" w:rsidP="00A46283">
      <w:pPr>
        <w:pStyle w:val="ListParagraph"/>
        <w:numPr>
          <w:ilvl w:val="0"/>
          <w:numId w:val="3"/>
        </w:numPr>
      </w:pPr>
      <w:r>
        <w:t xml:space="preserve">More Than Smart looks forward to comments from WG members to refine and include any additional desired enhancements to the ICA tool to improve user friendliness and data sharing capabilities, including from Joint IOUs on affirming timeline of when enhancements may be available (i.e., as part of the first system roll out, or as a goal for long-term refinement). </w:t>
      </w:r>
    </w:p>
    <w:p w14:paraId="24C1FE1B" w14:textId="34B46596" w:rsidR="00242EFE" w:rsidRPr="006B3453" w:rsidRDefault="00242EFE" w:rsidP="00A46283">
      <w:pPr>
        <w:pStyle w:val="ListParagraph"/>
        <w:numPr>
          <w:ilvl w:val="0"/>
          <w:numId w:val="3"/>
        </w:numPr>
      </w:pPr>
      <w:r>
        <w:t xml:space="preserve">CALSEIA will work with the joint IOUs to schedule a follow up conversation with DER </w:t>
      </w:r>
      <w:r w:rsidR="00BD77FB">
        <w:t xml:space="preserve">developers to better inform the usability conversation, particularly around 1) whether the ICA map should demonstrate fixed or variable ranges, 2) what should be included in the ICA user guide, and 3) how to potentially develop an API and what data is necessary to include. </w:t>
      </w:r>
    </w:p>
    <w:sectPr w:rsidR="00242EFE" w:rsidRPr="006B345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9922A" w14:textId="77777777" w:rsidR="00C37815" w:rsidRDefault="00C37815" w:rsidP="0036285F">
      <w:pPr>
        <w:spacing w:after="0" w:line="240" w:lineRule="auto"/>
      </w:pPr>
      <w:r>
        <w:separator/>
      </w:r>
    </w:p>
  </w:endnote>
  <w:endnote w:type="continuationSeparator" w:id="0">
    <w:p w14:paraId="05AF89E5" w14:textId="77777777" w:rsidR="00C37815" w:rsidRDefault="00C37815" w:rsidP="00362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1352966"/>
      <w:docPartObj>
        <w:docPartGallery w:val="Page Numbers (Bottom of Page)"/>
        <w:docPartUnique/>
      </w:docPartObj>
    </w:sdtPr>
    <w:sdtContent>
      <w:sdt>
        <w:sdtPr>
          <w:id w:val="-1669238322"/>
          <w:docPartObj>
            <w:docPartGallery w:val="Page Numbers (Top of Page)"/>
            <w:docPartUnique/>
          </w:docPartObj>
        </w:sdtPr>
        <w:sdtContent>
          <w:p w14:paraId="1F483F5F" w14:textId="427F7EB0" w:rsidR="00242EFE" w:rsidRDefault="00242EF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D77FB">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D77FB">
              <w:rPr>
                <w:b/>
                <w:bCs/>
                <w:noProof/>
              </w:rPr>
              <w:t>3</w:t>
            </w:r>
            <w:r>
              <w:rPr>
                <w:b/>
                <w:bCs/>
                <w:sz w:val="24"/>
                <w:szCs w:val="24"/>
              </w:rPr>
              <w:fldChar w:fldCharType="end"/>
            </w:r>
          </w:p>
        </w:sdtContent>
      </w:sdt>
    </w:sdtContent>
  </w:sdt>
  <w:p w14:paraId="2FBFC74B" w14:textId="77777777" w:rsidR="00242EFE" w:rsidRDefault="00242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28F55" w14:textId="77777777" w:rsidR="00C37815" w:rsidRDefault="00C37815" w:rsidP="0036285F">
      <w:pPr>
        <w:spacing w:after="0" w:line="240" w:lineRule="auto"/>
      </w:pPr>
      <w:r>
        <w:separator/>
      </w:r>
    </w:p>
  </w:footnote>
  <w:footnote w:type="continuationSeparator" w:id="0">
    <w:p w14:paraId="6820E2EF" w14:textId="77777777" w:rsidR="00C37815" w:rsidRDefault="00C37815" w:rsidP="003628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59FA"/>
    <w:multiLevelType w:val="hybridMultilevel"/>
    <w:tmpl w:val="7E9A4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25CB5"/>
    <w:multiLevelType w:val="hybridMultilevel"/>
    <w:tmpl w:val="1E6EC84C"/>
    <w:lvl w:ilvl="0" w:tplc="D76CC1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516642"/>
    <w:multiLevelType w:val="hybridMultilevel"/>
    <w:tmpl w:val="994C6E36"/>
    <w:lvl w:ilvl="0" w:tplc="6BE46B98">
      <w:start w:val="1"/>
      <w:numFmt w:val="bullet"/>
      <w:lvlText w:val="•"/>
      <w:lvlJc w:val="left"/>
      <w:pPr>
        <w:tabs>
          <w:tab w:val="num" w:pos="720"/>
        </w:tabs>
        <w:ind w:left="720" w:hanging="360"/>
      </w:pPr>
      <w:rPr>
        <w:rFonts w:ascii="Arial" w:hAnsi="Arial" w:hint="default"/>
      </w:rPr>
    </w:lvl>
    <w:lvl w:ilvl="1" w:tplc="244026EC">
      <w:start w:val="2424"/>
      <w:numFmt w:val="bullet"/>
      <w:lvlText w:val="–"/>
      <w:lvlJc w:val="left"/>
      <w:pPr>
        <w:tabs>
          <w:tab w:val="num" w:pos="1440"/>
        </w:tabs>
        <w:ind w:left="1440" w:hanging="360"/>
      </w:pPr>
      <w:rPr>
        <w:rFonts w:ascii="Arial" w:hAnsi="Arial" w:hint="default"/>
      </w:rPr>
    </w:lvl>
    <w:lvl w:ilvl="2" w:tplc="A97A444E">
      <w:start w:val="1180"/>
      <w:numFmt w:val="bullet"/>
      <w:lvlText w:val="•"/>
      <w:lvlJc w:val="left"/>
      <w:pPr>
        <w:tabs>
          <w:tab w:val="num" w:pos="2160"/>
        </w:tabs>
        <w:ind w:left="2160" w:hanging="360"/>
      </w:pPr>
      <w:rPr>
        <w:rFonts w:ascii="Arial" w:hAnsi="Arial" w:hint="default"/>
      </w:rPr>
    </w:lvl>
    <w:lvl w:ilvl="3" w:tplc="E1E21924" w:tentative="1">
      <w:start w:val="1"/>
      <w:numFmt w:val="bullet"/>
      <w:lvlText w:val="•"/>
      <w:lvlJc w:val="left"/>
      <w:pPr>
        <w:tabs>
          <w:tab w:val="num" w:pos="2880"/>
        </w:tabs>
        <w:ind w:left="2880" w:hanging="360"/>
      </w:pPr>
      <w:rPr>
        <w:rFonts w:ascii="Arial" w:hAnsi="Arial" w:hint="default"/>
      </w:rPr>
    </w:lvl>
    <w:lvl w:ilvl="4" w:tplc="CE460D94" w:tentative="1">
      <w:start w:val="1"/>
      <w:numFmt w:val="bullet"/>
      <w:lvlText w:val="•"/>
      <w:lvlJc w:val="left"/>
      <w:pPr>
        <w:tabs>
          <w:tab w:val="num" w:pos="3600"/>
        </w:tabs>
        <w:ind w:left="3600" w:hanging="360"/>
      </w:pPr>
      <w:rPr>
        <w:rFonts w:ascii="Arial" w:hAnsi="Arial" w:hint="default"/>
      </w:rPr>
    </w:lvl>
    <w:lvl w:ilvl="5" w:tplc="385CABA4" w:tentative="1">
      <w:start w:val="1"/>
      <w:numFmt w:val="bullet"/>
      <w:lvlText w:val="•"/>
      <w:lvlJc w:val="left"/>
      <w:pPr>
        <w:tabs>
          <w:tab w:val="num" w:pos="4320"/>
        </w:tabs>
        <w:ind w:left="4320" w:hanging="360"/>
      </w:pPr>
      <w:rPr>
        <w:rFonts w:ascii="Arial" w:hAnsi="Arial" w:hint="default"/>
      </w:rPr>
    </w:lvl>
    <w:lvl w:ilvl="6" w:tplc="3106281A" w:tentative="1">
      <w:start w:val="1"/>
      <w:numFmt w:val="bullet"/>
      <w:lvlText w:val="•"/>
      <w:lvlJc w:val="left"/>
      <w:pPr>
        <w:tabs>
          <w:tab w:val="num" w:pos="5040"/>
        </w:tabs>
        <w:ind w:left="5040" w:hanging="360"/>
      </w:pPr>
      <w:rPr>
        <w:rFonts w:ascii="Arial" w:hAnsi="Arial" w:hint="default"/>
      </w:rPr>
    </w:lvl>
    <w:lvl w:ilvl="7" w:tplc="B56C681C" w:tentative="1">
      <w:start w:val="1"/>
      <w:numFmt w:val="bullet"/>
      <w:lvlText w:val="•"/>
      <w:lvlJc w:val="left"/>
      <w:pPr>
        <w:tabs>
          <w:tab w:val="num" w:pos="5760"/>
        </w:tabs>
        <w:ind w:left="5760" w:hanging="360"/>
      </w:pPr>
      <w:rPr>
        <w:rFonts w:ascii="Arial" w:hAnsi="Arial" w:hint="default"/>
      </w:rPr>
    </w:lvl>
    <w:lvl w:ilvl="8" w:tplc="5AEC75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D11C81"/>
    <w:multiLevelType w:val="hybridMultilevel"/>
    <w:tmpl w:val="694C1DFA"/>
    <w:lvl w:ilvl="0" w:tplc="5030D648">
      <w:start w:val="1"/>
      <w:numFmt w:val="bullet"/>
      <w:lvlText w:val="–"/>
      <w:lvlJc w:val="left"/>
      <w:pPr>
        <w:tabs>
          <w:tab w:val="num" w:pos="720"/>
        </w:tabs>
        <w:ind w:left="720" w:hanging="360"/>
      </w:pPr>
      <w:rPr>
        <w:rFonts w:ascii="Arial" w:hAnsi="Arial" w:hint="default"/>
      </w:rPr>
    </w:lvl>
    <w:lvl w:ilvl="1" w:tplc="22C68568">
      <w:start w:val="1"/>
      <w:numFmt w:val="bullet"/>
      <w:lvlText w:val="–"/>
      <w:lvlJc w:val="left"/>
      <w:pPr>
        <w:tabs>
          <w:tab w:val="num" w:pos="1440"/>
        </w:tabs>
        <w:ind w:left="1440" w:hanging="360"/>
      </w:pPr>
      <w:rPr>
        <w:rFonts w:ascii="Arial" w:hAnsi="Arial" w:hint="default"/>
      </w:rPr>
    </w:lvl>
    <w:lvl w:ilvl="2" w:tplc="512A0C2E" w:tentative="1">
      <w:start w:val="1"/>
      <w:numFmt w:val="bullet"/>
      <w:lvlText w:val="–"/>
      <w:lvlJc w:val="left"/>
      <w:pPr>
        <w:tabs>
          <w:tab w:val="num" w:pos="2160"/>
        </w:tabs>
        <w:ind w:left="2160" w:hanging="360"/>
      </w:pPr>
      <w:rPr>
        <w:rFonts w:ascii="Arial" w:hAnsi="Arial" w:hint="default"/>
      </w:rPr>
    </w:lvl>
    <w:lvl w:ilvl="3" w:tplc="ACFE36F8" w:tentative="1">
      <w:start w:val="1"/>
      <w:numFmt w:val="bullet"/>
      <w:lvlText w:val="–"/>
      <w:lvlJc w:val="left"/>
      <w:pPr>
        <w:tabs>
          <w:tab w:val="num" w:pos="2880"/>
        </w:tabs>
        <w:ind w:left="2880" w:hanging="360"/>
      </w:pPr>
      <w:rPr>
        <w:rFonts w:ascii="Arial" w:hAnsi="Arial" w:hint="default"/>
      </w:rPr>
    </w:lvl>
    <w:lvl w:ilvl="4" w:tplc="519E9BD6" w:tentative="1">
      <w:start w:val="1"/>
      <w:numFmt w:val="bullet"/>
      <w:lvlText w:val="–"/>
      <w:lvlJc w:val="left"/>
      <w:pPr>
        <w:tabs>
          <w:tab w:val="num" w:pos="3600"/>
        </w:tabs>
        <w:ind w:left="3600" w:hanging="360"/>
      </w:pPr>
      <w:rPr>
        <w:rFonts w:ascii="Arial" w:hAnsi="Arial" w:hint="default"/>
      </w:rPr>
    </w:lvl>
    <w:lvl w:ilvl="5" w:tplc="FF90CC18" w:tentative="1">
      <w:start w:val="1"/>
      <w:numFmt w:val="bullet"/>
      <w:lvlText w:val="–"/>
      <w:lvlJc w:val="left"/>
      <w:pPr>
        <w:tabs>
          <w:tab w:val="num" w:pos="4320"/>
        </w:tabs>
        <w:ind w:left="4320" w:hanging="360"/>
      </w:pPr>
      <w:rPr>
        <w:rFonts w:ascii="Arial" w:hAnsi="Arial" w:hint="default"/>
      </w:rPr>
    </w:lvl>
    <w:lvl w:ilvl="6" w:tplc="66D8EE32" w:tentative="1">
      <w:start w:val="1"/>
      <w:numFmt w:val="bullet"/>
      <w:lvlText w:val="–"/>
      <w:lvlJc w:val="left"/>
      <w:pPr>
        <w:tabs>
          <w:tab w:val="num" w:pos="5040"/>
        </w:tabs>
        <w:ind w:left="5040" w:hanging="360"/>
      </w:pPr>
      <w:rPr>
        <w:rFonts w:ascii="Arial" w:hAnsi="Arial" w:hint="default"/>
      </w:rPr>
    </w:lvl>
    <w:lvl w:ilvl="7" w:tplc="AF6EC062" w:tentative="1">
      <w:start w:val="1"/>
      <w:numFmt w:val="bullet"/>
      <w:lvlText w:val="–"/>
      <w:lvlJc w:val="left"/>
      <w:pPr>
        <w:tabs>
          <w:tab w:val="num" w:pos="5760"/>
        </w:tabs>
        <w:ind w:left="5760" w:hanging="360"/>
      </w:pPr>
      <w:rPr>
        <w:rFonts w:ascii="Arial" w:hAnsi="Arial" w:hint="default"/>
      </w:rPr>
    </w:lvl>
    <w:lvl w:ilvl="8" w:tplc="F252CD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AB22EAD"/>
    <w:multiLevelType w:val="hybridMultilevel"/>
    <w:tmpl w:val="C3BED010"/>
    <w:lvl w:ilvl="0" w:tplc="14FEBEA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C5242D"/>
    <w:multiLevelType w:val="hybridMultilevel"/>
    <w:tmpl w:val="21F06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9A0E98"/>
    <w:multiLevelType w:val="hybridMultilevel"/>
    <w:tmpl w:val="16367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4"/>
  </w:num>
  <w:num w:numId="6">
    <w:abstractNumId w:val="7"/>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161D9"/>
    <w:rsid w:val="00031FB8"/>
    <w:rsid w:val="00062F4C"/>
    <w:rsid w:val="001607FF"/>
    <w:rsid w:val="00194060"/>
    <w:rsid w:val="001B2E6B"/>
    <w:rsid w:val="001C05F7"/>
    <w:rsid w:val="00216376"/>
    <w:rsid w:val="00242EFE"/>
    <w:rsid w:val="00271716"/>
    <w:rsid w:val="002A2EAA"/>
    <w:rsid w:val="002B3254"/>
    <w:rsid w:val="002C0DAD"/>
    <w:rsid w:val="00313677"/>
    <w:rsid w:val="00327D88"/>
    <w:rsid w:val="00353602"/>
    <w:rsid w:val="0036285F"/>
    <w:rsid w:val="00444914"/>
    <w:rsid w:val="004A57AB"/>
    <w:rsid w:val="004E2596"/>
    <w:rsid w:val="0050299E"/>
    <w:rsid w:val="00522B9D"/>
    <w:rsid w:val="00560F0B"/>
    <w:rsid w:val="005908A2"/>
    <w:rsid w:val="005B0322"/>
    <w:rsid w:val="006157D8"/>
    <w:rsid w:val="006523A8"/>
    <w:rsid w:val="00654930"/>
    <w:rsid w:val="006829B2"/>
    <w:rsid w:val="006B10FF"/>
    <w:rsid w:val="006B3453"/>
    <w:rsid w:val="006C5B08"/>
    <w:rsid w:val="007006C8"/>
    <w:rsid w:val="00740BDF"/>
    <w:rsid w:val="00747F07"/>
    <w:rsid w:val="007D35B8"/>
    <w:rsid w:val="007D5DB8"/>
    <w:rsid w:val="007F7FEC"/>
    <w:rsid w:val="0081748C"/>
    <w:rsid w:val="008318C9"/>
    <w:rsid w:val="008E7279"/>
    <w:rsid w:val="0094058D"/>
    <w:rsid w:val="009652D4"/>
    <w:rsid w:val="009808AD"/>
    <w:rsid w:val="009C4395"/>
    <w:rsid w:val="00A27DAB"/>
    <w:rsid w:val="00A455A6"/>
    <w:rsid w:val="00A46283"/>
    <w:rsid w:val="00A57C97"/>
    <w:rsid w:val="00AF5550"/>
    <w:rsid w:val="00B12CA6"/>
    <w:rsid w:val="00B7354D"/>
    <w:rsid w:val="00B75C59"/>
    <w:rsid w:val="00BD77FB"/>
    <w:rsid w:val="00C37815"/>
    <w:rsid w:val="00C744FE"/>
    <w:rsid w:val="00CA4902"/>
    <w:rsid w:val="00CB52EA"/>
    <w:rsid w:val="00D52980"/>
    <w:rsid w:val="00D8008F"/>
    <w:rsid w:val="00DA043F"/>
    <w:rsid w:val="00EB70C2"/>
    <w:rsid w:val="00ED56FE"/>
    <w:rsid w:val="00F01ECF"/>
    <w:rsid w:val="00F0570B"/>
    <w:rsid w:val="00F44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62ED10D9-B516-4E37-8F35-E0B9A42D7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E25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3628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285F"/>
    <w:rPr>
      <w:sz w:val="20"/>
      <w:szCs w:val="20"/>
    </w:rPr>
  </w:style>
  <w:style w:type="character" w:styleId="FootnoteReference">
    <w:name w:val="footnote reference"/>
    <w:basedOn w:val="DefaultParagraphFont"/>
    <w:uiPriority w:val="99"/>
    <w:semiHidden/>
    <w:unhideWhenUsed/>
    <w:rsid w:val="0036285F"/>
    <w:rPr>
      <w:vertAlign w:val="superscript"/>
    </w:rPr>
  </w:style>
  <w:style w:type="character" w:styleId="CommentReference">
    <w:name w:val="annotation reference"/>
    <w:basedOn w:val="DefaultParagraphFont"/>
    <w:uiPriority w:val="99"/>
    <w:semiHidden/>
    <w:unhideWhenUsed/>
    <w:rsid w:val="007D35B8"/>
    <w:rPr>
      <w:sz w:val="16"/>
      <w:szCs w:val="16"/>
    </w:rPr>
  </w:style>
  <w:style w:type="paragraph" w:styleId="CommentText">
    <w:name w:val="annotation text"/>
    <w:basedOn w:val="Normal"/>
    <w:link w:val="CommentTextChar"/>
    <w:uiPriority w:val="99"/>
    <w:semiHidden/>
    <w:unhideWhenUsed/>
    <w:rsid w:val="007D35B8"/>
    <w:pPr>
      <w:spacing w:line="240" w:lineRule="auto"/>
    </w:pPr>
    <w:rPr>
      <w:sz w:val="20"/>
      <w:szCs w:val="20"/>
    </w:rPr>
  </w:style>
  <w:style w:type="character" w:customStyle="1" w:styleId="CommentTextChar">
    <w:name w:val="Comment Text Char"/>
    <w:basedOn w:val="DefaultParagraphFont"/>
    <w:link w:val="CommentText"/>
    <w:uiPriority w:val="99"/>
    <w:semiHidden/>
    <w:rsid w:val="007D35B8"/>
    <w:rPr>
      <w:sz w:val="20"/>
      <w:szCs w:val="20"/>
    </w:rPr>
  </w:style>
  <w:style w:type="paragraph" w:styleId="CommentSubject">
    <w:name w:val="annotation subject"/>
    <w:basedOn w:val="CommentText"/>
    <w:next w:val="CommentText"/>
    <w:link w:val="CommentSubjectChar"/>
    <w:uiPriority w:val="99"/>
    <w:semiHidden/>
    <w:unhideWhenUsed/>
    <w:rsid w:val="007D35B8"/>
    <w:rPr>
      <w:b/>
      <w:bCs/>
    </w:rPr>
  </w:style>
  <w:style w:type="character" w:customStyle="1" w:styleId="CommentSubjectChar">
    <w:name w:val="Comment Subject Char"/>
    <w:basedOn w:val="CommentTextChar"/>
    <w:link w:val="CommentSubject"/>
    <w:uiPriority w:val="99"/>
    <w:semiHidden/>
    <w:rsid w:val="007D35B8"/>
    <w:rPr>
      <w:b/>
      <w:bCs/>
      <w:sz w:val="20"/>
      <w:szCs w:val="20"/>
    </w:rPr>
  </w:style>
  <w:style w:type="paragraph" w:styleId="BalloonText">
    <w:name w:val="Balloon Text"/>
    <w:basedOn w:val="Normal"/>
    <w:link w:val="BalloonTextChar"/>
    <w:uiPriority w:val="99"/>
    <w:semiHidden/>
    <w:unhideWhenUsed/>
    <w:rsid w:val="007D3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5B8"/>
    <w:rPr>
      <w:rFonts w:ascii="Tahoma" w:hAnsi="Tahoma" w:cs="Tahoma"/>
      <w:sz w:val="16"/>
      <w:szCs w:val="16"/>
    </w:rPr>
  </w:style>
  <w:style w:type="paragraph" w:styleId="Header">
    <w:name w:val="header"/>
    <w:basedOn w:val="Normal"/>
    <w:link w:val="HeaderChar"/>
    <w:uiPriority w:val="99"/>
    <w:unhideWhenUsed/>
    <w:rsid w:val="005029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99E"/>
  </w:style>
  <w:style w:type="paragraph" w:styleId="Footer">
    <w:name w:val="footer"/>
    <w:basedOn w:val="Normal"/>
    <w:link w:val="FooterChar"/>
    <w:uiPriority w:val="99"/>
    <w:unhideWhenUsed/>
    <w:rsid w:val="00502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99E"/>
  </w:style>
  <w:style w:type="character" w:customStyle="1" w:styleId="Heading3Char">
    <w:name w:val="Heading 3 Char"/>
    <w:basedOn w:val="DefaultParagraphFont"/>
    <w:link w:val="Heading3"/>
    <w:uiPriority w:val="9"/>
    <w:rsid w:val="004E259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407220">
      <w:bodyDiv w:val="1"/>
      <w:marLeft w:val="0"/>
      <w:marRight w:val="0"/>
      <w:marTop w:val="0"/>
      <w:marBottom w:val="0"/>
      <w:divBdr>
        <w:top w:val="none" w:sz="0" w:space="0" w:color="auto"/>
        <w:left w:val="none" w:sz="0" w:space="0" w:color="auto"/>
        <w:bottom w:val="none" w:sz="0" w:space="0" w:color="auto"/>
        <w:right w:val="none" w:sz="0" w:space="0" w:color="auto"/>
      </w:divBdr>
      <w:divsChild>
        <w:div w:id="1456371159">
          <w:marLeft w:val="547"/>
          <w:marRight w:val="0"/>
          <w:marTop w:val="77"/>
          <w:marBottom w:val="0"/>
          <w:divBdr>
            <w:top w:val="none" w:sz="0" w:space="0" w:color="auto"/>
            <w:left w:val="none" w:sz="0" w:space="0" w:color="auto"/>
            <w:bottom w:val="none" w:sz="0" w:space="0" w:color="auto"/>
            <w:right w:val="none" w:sz="0" w:space="0" w:color="auto"/>
          </w:divBdr>
        </w:div>
        <w:div w:id="1682321637">
          <w:marLeft w:val="1166"/>
          <w:marRight w:val="0"/>
          <w:marTop w:val="77"/>
          <w:marBottom w:val="0"/>
          <w:divBdr>
            <w:top w:val="none" w:sz="0" w:space="0" w:color="auto"/>
            <w:left w:val="none" w:sz="0" w:space="0" w:color="auto"/>
            <w:bottom w:val="none" w:sz="0" w:space="0" w:color="auto"/>
            <w:right w:val="none" w:sz="0" w:space="0" w:color="auto"/>
          </w:divBdr>
        </w:div>
        <w:div w:id="173617617">
          <w:marLeft w:val="1166"/>
          <w:marRight w:val="0"/>
          <w:marTop w:val="77"/>
          <w:marBottom w:val="0"/>
          <w:divBdr>
            <w:top w:val="none" w:sz="0" w:space="0" w:color="auto"/>
            <w:left w:val="none" w:sz="0" w:space="0" w:color="auto"/>
            <w:bottom w:val="none" w:sz="0" w:space="0" w:color="auto"/>
            <w:right w:val="none" w:sz="0" w:space="0" w:color="auto"/>
          </w:divBdr>
        </w:div>
        <w:div w:id="332226392">
          <w:marLeft w:val="1166"/>
          <w:marRight w:val="0"/>
          <w:marTop w:val="77"/>
          <w:marBottom w:val="0"/>
          <w:divBdr>
            <w:top w:val="none" w:sz="0" w:space="0" w:color="auto"/>
            <w:left w:val="none" w:sz="0" w:space="0" w:color="auto"/>
            <w:bottom w:val="none" w:sz="0" w:space="0" w:color="auto"/>
            <w:right w:val="none" w:sz="0" w:space="0" w:color="auto"/>
          </w:divBdr>
        </w:div>
        <w:div w:id="427119369">
          <w:marLeft w:val="1800"/>
          <w:marRight w:val="0"/>
          <w:marTop w:val="67"/>
          <w:marBottom w:val="0"/>
          <w:divBdr>
            <w:top w:val="none" w:sz="0" w:space="0" w:color="auto"/>
            <w:left w:val="none" w:sz="0" w:space="0" w:color="auto"/>
            <w:bottom w:val="none" w:sz="0" w:space="0" w:color="auto"/>
            <w:right w:val="none" w:sz="0" w:space="0" w:color="auto"/>
          </w:divBdr>
        </w:div>
        <w:div w:id="537737176">
          <w:marLeft w:val="1800"/>
          <w:marRight w:val="0"/>
          <w:marTop w:val="67"/>
          <w:marBottom w:val="0"/>
          <w:divBdr>
            <w:top w:val="none" w:sz="0" w:space="0" w:color="auto"/>
            <w:left w:val="none" w:sz="0" w:space="0" w:color="auto"/>
            <w:bottom w:val="none" w:sz="0" w:space="0" w:color="auto"/>
            <w:right w:val="none" w:sz="0" w:space="0" w:color="auto"/>
          </w:divBdr>
        </w:div>
        <w:div w:id="1416052257">
          <w:marLeft w:val="1800"/>
          <w:marRight w:val="0"/>
          <w:marTop w:val="67"/>
          <w:marBottom w:val="0"/>
          <w:divBdr>
            <w:top w:val="none" w:sz="0" w:space="0" w:color="auto"/>
            <w:left w:val="none" w:sz="0" w:space="0" w:color="auto"/>
            <w:bottom w:val="none" w:sz="0" w:space="0" w:color="auto"/>
            <w:right w:val="none" w:sz="0" w:space="0" w:color="auto"/>
          </w:divBdr>
        </w:div>
      </w:divsChild>
    </w:div>
    <w:div w:id="1031226388">
      <w:bodyDiv w:val="1"/>
      <w:marLeft w:val="0"/>
      <w:marRight w:val="0"/>
      <w:marTop w:val="0"/>
      <w:marBottom w:val="0"/>
      <w:divBdr>
        <w:top w:val="none" w:sz="0" w:space="0" w:color="auto"/>
        <w:left w:val="none" w:sz="0" w:space="0" w:color="auto"/>
        <w:bottom w:val="none" w:sz="0" w:space="0" w:color="auto"/>
        <w:right w:val="none" w:sz="0" w:space="0" w:color="auto"/>
      </w:divBdr>
      <w:divsChild>
        <w:div w:id="710761090">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53CDB-E32F-4745-9880-C765C1C4E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Laura Wang</cp:lastModifiedBy>
  <cp:revision>4</cp:revision>
  <cp:lastPrinted>2017-10-11T17:49:00Z</cp:lastPrinted>
  <dcterms:created xsi:type="dcterms:W3CDTF">2017-10-19T17:36:00Z</dcterms:created>
  <dcterms:modified xsi:type="dcterms:W3CDTF">2017-10-19T22:51:00Z</dcterms:modified>
</cp:coreProperties>
</file>