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BE3ECE" w14:textId="3ED2F516" w:rsidR="00041025" w:rsidRPr="006B3453" w:rsidRDefault="00BA3D3E" w:rsidP="00461327">
      <w:pPr>
        <w:pStyle w:val="Title"/>
        <w:rPr>
          <w:sz w:val="48"/>
          <w:szCs w:val="48"/>
        </w:rPr>
      </w:pPr>
      <w:r>
        <w:rPr>
          <w:sz w:val="48"/>
          <w:szCs w:val="48"/>
        </w:rPr>
        <w:t>Item</w:t>
      </w:r>
      <w:r w:rsidR="00041025" w:rsidRPr="2D926EEB">
        <w:rPr>
          <w:sz w:val="48"/>
          <w:szCs w:val="48"/>
        </w:rPr>
        <w:t xml:space="preserve"> </w:t>
      </w:r>
      <w:r w:rsidR="00E260C2">
        <w:rPr>
          <w:sz w:val="48"/>
          <w:szCs w:val="48"/>
        </w:rPr>
        <w:t>8</w:t>
      </w:r>
      <w:r w:rsidR="00041025" w:rsidRPr="2D926EEB">
        <w:rPr>
          <w:sz w:val="48"/>
          <w:szCs w:val="48"/>
        </w:rPr>
        <w:t>: Comparative Assessment</w:t>
      </w:r>
    </w:p>
    <w:p w14:paraId="427C4C76" w14:textId="77777777" w:rsidR="00041025" w:rsidRDefault="00041025" w:rsidP="00461327">
      <w:pPr>
        <w:pStyle w:val="Subtitle"/>
        <w:spacing w:after="0"/>
      </w:pPr>
      <w:r>
        <w:t xml:space="preserve">Joint IOUs’ Initial Proposal </w:t>
      </w:r>
    </w:p>
    <w:p w14:paraId="2A569797" w14:textId="4F713E6E" w:rsidR="00041025" w:rsidRDefault="00041025" w:rsidP="00461327">
      <w:pPr>
        <w:pStyle w:val="Subtitle"/>
        <w:spacing w:after="0"/>
      </w:pPr>
      <w:r>
        <w:t>ICA Working Group</w:t>
      </w:r>
    </w:p>
    <w:p w14:paraId="0ABEE060" w14:textId="77777777" w:rsidR="00461327" w:rsidRPr="00461327" w:rsidRDefault="00461327" w:rsidP="00461327"/>
    <w:p w14:paraId="57024249" w14:textId="77777777" w:rsidR="00041025" w:rsidRDefault="00041025" w:rsidP="00461327">
      <w:pPr>
        <w:pStyle w:val="Heading1"/>
        <w:spacing w:before="0"/>
      </w:pPr>
      <w:r>
        <w:t>Summary of Recommendations</w:t>
      </w:r>
    </w:p>
    <w:p w14:paraId="5388F72E" w14:textId="4415885B" w:rsidR="00067038" w:rsidRDefault="00DE06AE" w:rsidP="00461327">
      <w:pPr>
        <w:pStyle w:val="ListParagraph"/>
        <w:numPr>
          <w:ilvl w:val="0"/>
          <w:numId w:val="1"/>
        </w:numPr>
        <w:spacing w:after="0"/>
      </w:pPr>
      <w:r>
        <w:t xml:space="preserve">The IOUs invite </w:t>
      </w:r>
      <w:r w:rsidR="00067038">
        <w:t>stakeholder feedback on Demo A Comparison of IEEE 123 test feeder</w:t>
      </w:r>
    </w:p>
    <w:p w14:paraId="08B682EF" w14:textId="092DD8C4" w:rsidR="00067038" w:rsidRDefault="00DE06AE" w:rsidP="00461327">
      <w:pPr>
        <w:pStyle w:val="ListParagraph"/>
        <w:numPr>
          <w:ilvl w:val="0"/>
          <w:numId w:val="1"/>
        </w:numPr>
        <w:spacing w:after="0"/>
      </w:pPr>
      <w:r>
        <w:t>The IOUs recommend that a n</w:t>
      </w:r>
      <w:r w:rsidR="00067038">
        <w:t>on-IOU analysis of IEEE 123 test feeder</w:t>
      </w:r>
      <w:r>
        <w:t xml:space="preserve"> should be completed, including</w:t>
      </w:r>
      <w:r w:rsidR="00067038">
        <w:t xml:space="preserve"> comparison to IOU results</w:t>
      </w:r>
    </w:p>
    <w:p w14:paraId="0CB5E0D6" w14:textId="405FF034" w:rsidR="00041025" w:rsidRDefault="00DE06AE" w:rsidP="00461327">
      <w:pPr>
        <w:pStyle w:val="ListParagraph"/>
        <w:numPr>
          <w:ilvl w:val="0"/>
          <w:numId w:val="1"/>
        </w:numPr>
        <w:spacing w:after="0"/>
      </w:pPr>
      <w:r>
        <w:t xml:space="preserve">The above analysis and comparison can be used to indicate whether there are </w:t>
      </w:r>
      <w:r w:rsidR="00067038">
        <w:t xml:space="preserve">any major gaps </w:t>
      </w:r>
      <w:r>
        <w:t>or needed improvements for ICA</w:t>
      </w:r>
      <w:r w:rsidR="00067038">
        <w:t xml:space="preserve"> implementation</w:t>
      </w:r>
    </w:p>
    <w:p w14:paraId="4BF46711" w14:textId="671B5EE2" w:rsidR="00067038" w:rsidRPr="00461327" w:rsidRDefault="00DE06AE" w:rsidP="002F7A19">
      <w:pPr>
        <w:pStyle w:val="ListParagraph"/>
        <w:numPr>
          <w:ilvl w:val="0"/>
          <w:numId w:val="1"/>
        </w:numPr>
        <w:spacing w:after="0"/>
      </w:pPr>
      <w:r>
        <w:t xml:space="preserve">The WG </w:t>
      </w:r>
      <w:r w:rsidR="2D926EEB">
        <w:t>Final Report should sum</w:t>
      </w:r>
      <w:bookmarkStart w:id="0" w:name="_GoBack"/>
      <w:bookmarkEnd w:id="0"/>
      <w:r w:rsidR="2D926EEB">
        <w:t>marize non-IOU analysis comparison</w:t>
      </w:r>
    </w:p>
    <w:p w14:paraId="79FD7863" w14:textId="77777777" w:rsidR="00461327" w:rsidRDefault="00461327" w:rsidP="00461327">
      <w:pPr>
        <w:spacing w:after="0"/>
      </w:pPr>
    </w:p>
    <w:p w14:paraId="4B1A7239" w14:textId="5FFE1CB4" w:rsidR="0060192D" w:rsidRDefault="00041025" w:rsidP="00461327">
      <w:pPr>
        <w:pStyle w:val="Heading1"/>
        <w:spacing w:before="0"/>
      </w:pPr>
      <w:r>
        <w:t>Introduction and Background</w:t>
      </w:r>
    </w:p>
    <w:p w14:paraId="1869804E" w14:textId="18860FB1" w:rsidR="0060192D" w:rsidRDefault="00DE06AE" w:rsidP="00461327">
      <w:pPr>
        <w:spacing w:after="0"/>
      </w:pPr>
      <w:r>
        <w:t>The May 23 2016 ACR required the IOUs</w:t>
      </w:r>
      <w:r w:rsidR="0060192D">
        <w:t xml:space="preserve"> conduct </w:t>
      </w:r>
      <w:r>
        <w:t xml:space="preserve">a </w:t>
      </w:r>
      <w:r w:rsidR="0060192D">
        <w:t>comparative assessment on one or more rep</w:t>
      </w:r>
      <w:r w:rsidR="00352005">
        <w:t>resentative California feeders.</w:t>
      </w:r>
      <w:r w:rsidR="0060192D">
        <w:t xml:space="preserve"> In Demo A, the IOUs used the IEEE 123 test feeder as a reference circuit to compare IOU Demo A results (using both </w:t>
      </w:r>
      <w:r>
        <w:t xml:space="preserve">the “streamlined” and “iterative” </w:t>
      </w:r>
      <w:r w:rsidR="0060192D">
        <w:t xml:space="preserve">methodologies) and between power system analysis tools (PG&amp;E and SCE use CYME software, while SDG&amp;E uses Synergi software). It was concluded that ICA results do not show significant variation when tested across the IEEE 123 test feeder, with slight variations attributed to how power flow models are treated between CYME and Synergi. In the ICA WG Final Report, the WG recommended utilizing more representative California feeders as a long-term refinement issue, while considering prioritization of other </w:t>
      </w:r>
      <w:r>
        <w:t xml:space="preserve">long-term refinement </w:t>
      </w:r>
      <w:r w:rsidR="0060192D">
        <w:t>studies</w:t>
      </w:r>
      <w:r>
        <w:t>,</w:t>
      </w:r>
      <w:r w:rsidR="0060192D">
        <w:t xml:space="preserve"> </w:t>
      </w:r>
      <w:r>
        <w:t xml:space="preserve">give potential </w:t>
      </w:r>
      <w:r w:rsidR="0060192D">
        <w:t>costs and resource</w:t>
      </w:r>
      <w:r>
        <w:t xml:space="preserve"> needs</w:t>
      </w:r>
      <w:r w:rsidR="0060192D">
        <w:t>.</w:t>
      </w:r>
    </w:p>
    <w:p w14:paraId="2617B107" w14:textId="77777777" w:rsidR="00E260C2" w:rsidRPr="0060192D" w:rsidRDefault="00E260C2" w:rsidP="00461327">
      <w:pPr>
        <w:spacing w:after="0"/>
      </w:pPr>
    </w:p>
    <w:p w14:paraId="29727A83" w14:textId="3EE2B2D2" w:rsidR="005D02F4" w:rsidRDefault="00DE06AE" w:rsidP="00461327">
      <w:pPr>
        <w:spacing w:after="0"/>
      </w:pPr>
      <w:r>
        <w:t xml:space="preserve">At the July 7 ICA WG meeting, </w:t>
      </w:r>
      <w:r w:rsidR="0060192D">
        <w:t>T</w:t>
      </w:r>
      <w:r w:rsidR="0060192D" w:rsidRPr="00063BE7">
        <w:t xml:space="preserve">om Russell (PG&amp;E), on behalf of the joint utilities, presented a review of </w:t>
      </w:r>
      <w:r w:rsidR="005D02F4">
        <w:t xml:space="preserve">the results from Demo A on the comparison of the IEEE 123 feeder.  </w:t>
      </w:r>
      <w:r>
        <w:t>The presentation</w:t>
      </w:r>
      <w:r w:rsidR="005D02F4">
        <w:t xml:space="preserve"> explained </w:t>
      </w:r>
      <w:r w:rsidR="0060192D" w:rsidRPr="00063BE7">
        <w:t xml:space="preserve">how </w:t>
      </w:r>
      <w:r w:rsidR="005D02F4">
        <w:t xml:space="preserve">variations </w:t>
      </w:r>
      <w:r w:rsidR="0060192D" w:rsidRPr="00063BE7">
        <w:t xml:space="preserve">within modeling on the IEEE 123 feeder were </w:t>
      </w:r>
      <w:r w:rsidR="005D02F4">
        <w:t xml:space="preserve">the most significant factor in the discrepancies.  </w:t>
      </w:r>
      <w:r w:rsidR="00186AC6">
        <w:t>D</w:t>
      </w:r>
      <w:r w:rsidR="005D02F4">
        <w:t xml:space="preserve">ue to the </w:t>
      </w:r>
      <w:r w:rsidR="00186AC6">
        <w:t xml:space="preserve">inherent differences in </w:t>
      </w:r>
      <w:r w:rsidR="005D02F4">
        <w:t>models and tools</w:t>
      </w:r>
      <w:r w:rsidR="00186AC6">
        <w:t>, it was expected that</w:t>
      </w:r>
      <w:r w:rsidR="005D02F4">
        <w:t xml:space="preserve"> the numbers </w:t>
      </w:r>
      <w:r w:rsidR="00186AC6">
        <w:t xml:space="preserve">would </w:t>
      </w:r>
      <w:r w:rsidR="005D02F4">
        <w:t>not be exact</w:t>
      </w:r>
      <w:r w:rsidR="00186AC6">
        <w:t>ly identical across the IOUs.  T</w:t>
      </w:r>
      <w:r w:rsidR="00352005">
        <w:t>he</w:t>
      </w:r>
      <w:r w:rsidR="00186AC6">
        <w:t xml:space="preserve"> </w:t>
      </w:r>
      <w:r w:rsidR="005D02F4">
        <w:t xml:space="preserve">IOUs </w:t>
      </w:r>
      <w:r w:rsidR="00186AC6">
        <w:t xml:space="preserve">did find </w:t>
      </w:r>
      <w:r w:rsidR="005D02F4">
        <w:t xml:space="preserve">good tracking of similar results.  </w:t>
      </w:r>
      <w:r w:rsidR="00580C2A">
        <w:t xml:space="preserve">Because </w:t>
      </w:r>
      <w:r w:rsidR="005D02F4">
        <w:t>the analyses were converging on similar results</w:t>
      </w:r>
      <w:r w:rsidR="00580C2A">
        <w:t>, the IOUs concluded that the IOUs’ respective ICAs are sufficiently consistent and accurate.</w:t>
      </w:r>
    </w:p>
    <w:p w14:paraId="06BDCCCB" w14:textId="77777777" w:rsidR="00E260C2" w:rsidRDefault="00E260C2" w:rsidP="00461327">
      <w:pPr>
        <w:spacing w:after="0"/>
      </w:pPr>
    </w:p>
    <w:p w14:paraId="243CFE73" w14:textId="066023F4" w:rsidR="00041025" w:rsidRDefault="0060192D" w:rsidP="00461327">
      <w:pPr>
        <w:spacing w:after="0"/>
      </w:pPr>
      <w:r w:rsidRPr="00063BE7">
        <w:t xml:space="preserve">It was identified that </w:t>
      </w:r>
      <w:r w:rsidR="00DE06AE">
        <w:t>I</w:t>
      </w:r>
      <w:r w:rsidRPr="00063BE7">
        <w:t xml:space="preserve">tem </w:t>
      </w:r>
      <w:r w:rsidR="00DE06AE">
        <w:t xml:space="preserve">2 </w:t>
      </w:r>
      <w:r w:rsidRPr="00063BE7">
        <w:t xml:space="preserve">overlaps considerably with Group IV </w:t>
      </w:r>
      <w:r w:rsidR="00DE06AE">
        <w:t>Items F and G, which</w:t>
      </w:r>
      <w:r w:rsidR="00DE06AE" w:rsidRPr="00063BE7">
        <w:t xml:space="preserve"> </w:t>
      </w:r>
      <w:r w:rsidR="00DE06AE">
        <w:t xml:space="preserve">cover </w:t>
      </w:r>
      <w:r w:rsidRPr="00063BE7">
        <w:t>validation and QA/QC of ICA results</w:t>
      </w:r>
      <w:r w:rsidR="00DE06AE">
        <w:t>, respectively</w:t>
      </w:r>
      <w:r w:rsidRPr="00063BE7">
        <w:t xml:space="preserve">. It was </w:t>
      </w:r>
      <w:r w:rsidR="005D02F4">
        <w:t xml:space="preserve">also </w:t>
      </w:r>
      <w:r w:rsidRPr="00063BE7">
        <w:t xml:space="preserve">identified that there are additional EPRI test circuits that are more realistic, with geography more similar to urban and rural circuits in California. Given that these include a significantly larger number of nodes (1000-6000 vs. 123 nodes), the joint IOUs </w:t>
      </w:r>
      <w:r w:rsidR="00DE06AE">
        <w:t xml:space="preserve">recommend the first step should be </w:t>
      </w:r>
      <w:r w:rsidRPr="00063BE7">
        <w:t xml:space="preserve">external validation </w:t>
      </w:r>
      <w:r w:rsidR="00DE06AE">
        <w:t xml:space="preserve">by a non-IOU party </w:t>
      </w:r>
      <w:r w:rsidRPr="00063BE7">
        <w:t>on the IEEE 123 circuit</w:t>
      </w:r>
      <w:r w:rsidR="00DE06AE">
        <w:t xml:space="preserve">, which should occur prior to a </w:t>
      </w:r>
      <w:r w:rsidRPr="00063BE7">
        <w:t>comparative assessment using more detailed EPRI test circuits. The joint IOUs only made one modification to the IEEE 123 test circuit to ensure operational flexibility and can supply the modified file for external validation.</w:t>
      </w:r>
    </w:p>
    <w:p w14:paraId="1000F4A4" w14:textId="77777777" w:rsidR="00461327" w:rsidRDefault="00461327" w:rsidP="00461327">
      <w:pPr>
        <w:spacing w:after="0"/>
      </w:pPr>
    </w:p>
    <w:p w14:paraId="3AAD5A41" w14:textId="5077EEE2" w:rsidR="00041025" w:rsidRDefault="00041025" w:rsidP="00461327">
      <w:pPr>
        <w:pStyle w:val="Heading1"/>
        <w:spacing w:before="0"/>
      </w:pPr>
      <w:r>
        <w:lastRenderedPageBreak/>
        <w:t>Discussion</w:t>
      </w:r>
    </w:p>
    <w:p w14:paraId="176DE120" w14:textId="7D2E6DF8" w:rsidR="005D02F4" w:rsidRDefault="00AA7F82" w:rsidP="00461327">
      <w:pPr>
        <w:spacing w:after="0"/>
      </w:pPr>
      <w:r>
        <w:t>The Working group discusse</w:t>
      </w:r>
      <w:r w:rsidR="001C47F4">
        <w:t>d</w:t>
      </w:r>
      <w:r w:rsidR="0060192D" w:rsidRPr="00063BE7">
        <w:t xml:space="preserve"> how, and with what tools, non-IOU parties may be able to perform this validation. </w:t>
      </w:r>
      <w:r w:rsidR="005D02F4">
        <w:t>While similar tool comparison would ensure consistency, there is question on if we need different tools to help validate as well.</w:t>
      </w:r>
    </w:p>
    <w:p w14:paraId="4A1C8F21" w14:textId="77777777" w:rsidR="00AA7F82" w:rsidRDefault="00AA7F82" w:rsidP="00461327">
      <w:pPr>
        <w:spacing w:after="0"/>
      </w:pPr>
    </w:p>
    <w:p w14:paraId="276C46E8" w14:textId="1386BA9F" w:rsidR="00041025" w:rsidRDefault="0060192D" w:rsidP="00461327">
      <w:pPr>
        <w:spacing w:after="0"/>
      </w:pPr>
      <w:r w:rsidRPr="00063BE7">
        <w:t xml:space="preserve">One stakeholder representing DNV GL </w:t>
      </w:r>
      <w:r w:rsidR="002E0908">
        <w:t>volunteered to help given that they are the developers of the Synergi tool used by SDG&amp;E</w:t>
      </w:r>
      <w:r w:rsidRPr="00063BE7">
        <w:t>. They are currently p</w:t>
      </w:r>
      <w:r w:rsidR="002E0908">
        <w:t>erforming validation on the ICA modules</w:t>
      </w:r>
      <w:r w:rsidRPr="00063BE7">
        <w:t>, and mention that this may be a good opportunity to compare notes and results with the ICA WG.</w:t>
      </w:r>
    </w:p>
    <w:p w14:paraId="097CCB0F" w14:textId="2E6C28A6" w:rsidR="002E0908" w:rsidRDefault="002E0908" w:rsidP="00461327">
      <w:pPr>
        <w:spacing w:after="0"/>
        <w:rPr>
          <w:strike/>
        </w:rPr>
      </w:pPr>
      <w:r>
        <w:t>Overall there seemed to be consensus that third party validation was the next ste</w:t>
      </w:r>
      <w:r w:rsidR="00352005">
        <w:t>p to ensure non-IOU consistency.</w:t>
      </w:r>
    </w:p>
    <w:p w14:paraId="19361609" w14:textId="77777777" w:rsidR="00461327" w:rsidRDefault="00461327" w:rsidP="00461327">
      <w:pPr>
        <w:spacing w:after="0"/>
      </w:pPr>
    </w:p>
    <w:p w14:paraId="7FE8FD35" w14:textId="77777777" w:rsidR="00041025" w:rsidRDefault="00041025" w:rsidP="00461327">
      <w:pPr>
        <w:pStyle w:val="Heading1"/>
        <w:spacing w:before="0"/>
      </w:pPr>
      <w:r>
        <w:t>Conclusion and Next Steps</w:t>
      </w:r>
    </w:p>
    <w:p w14:paraId="24C2AF63" w14:textId="1F379856" w:rsidR="0060192D" w:rsidRDefault="0060192D" w:rsidP="00461327">
      <w:pPr>
        <w:pStyle w:val="ListParagraph"/>
        <w:numPr>
          <w:ilvl w:val="0"/>
          <w:numId w:val="3"/>
        </w:numPr>
        <w:spacing w:after="0"/>
      </w:pPr>
      <w:r>
        <w:t>Variations in IOU results differ mainly due to model assumptions and deviations versus hosting capacity method</w:t>
      </w:r>
    </w:p>
    <w:p w14:paraId="1902E5D3" w14:textId="4B541BAB" w:rsidR="0060192D" w:rsidRDefault="0060192D" w:rsidP="00461327">
      <w:pPr>
        <w:pStyle w:val="ListParagraph"/>
        <w:numPr>
          <w:ilvl w:val="0"/>
          <w:numId w:val="3"/>
        </w:numPr>
        <w:spacing w:after="0"/>
        <w:rPr>
          <w:strike/>
        </w:rPr>
      </w:pPr>
      <w:r>
        <w:t xml:space="preserve">Align with </w:t>
      </w:r>
      <w:r w:rsidR="00640E48">
        <w:t xml:space="preserve">items </w:t>
      </w:r>
      <w:r w:rsidR="00A87AE1">
        <w:t>F</w:t>
      </w:r>
      <w:r w:rsidR="005D02F4">
        <w:t xml:space="preserve"> and </w:t>
      </w:r>
      <w:r w:rsidR="00A87AE1">
        <w:t>G</w:t>
      </w:r>
      <w:r w:rsidR="005D02F4">
        <w:t xml:space="preserve"> from Group </w:t>
      </w:r>
      <w:r w:rsidR="00A87AE1">
        <w:t>IV</w:t>
      </w:r>
    </w:p>
    <w:p w14:paraId="7640215E" w14:textId="77777777" w:rsidR="002E0908" w:rsidRDefault="005D02F4" w:rsidP="00461327">
      <w:pPr>
        <w:pStyle w:val="ListParagraph"/>
        <w:numPr>
          <w:ilvl w:val="0"/>
          <w:numId w:val="3"/>
        </w:numPr>
        <w:spacing w:after="0"/>
      </w:pPr>
      <w:r>
        <w:t>Get third party results on IEEE 123 test feeder to compare</w:t>
      </w:r>
    </w:p>
    <w:p w14:paraId="45659E0D" w14:textId="77777777" w:rsidR="002E0908" w:rsidRDefault="002E0908" w:rsidP="00461327">
      <w:pPr>
        <w:pStyle w:val="ListParagraph"/>
        <w:numPr>
          <w:ilvl w:val="0"/>
          <w:numId w:val="3"/>
        </w:numPr>
        <w:spacing w:after="0"/>
      </w:pPr>
      <w:r w:rsidRPr="00063BE7">
        <w:t xml:space="preserve">Tom Russell (PG&amp;E) will follow up with potential third party volunteers to perform this external validation. </w:t>
      </w:r>
    </w:p>
    <w:p w14:paraId="05A6F695" w14:textId="60C07265" w:rsidR="002E0908" w:rsidRDefault="002E0908" w:rsidP="00461327">
      <w:pPr>
        <w:pStyle w:val="ListParagraph"/>
        <w:numPr>
          <w:ilvl w:val="0"/>
          <w:numId w:val="3"/>
        </w:numPr>
        <w:spacing w:after="0"/>
      </w:pPr>
      <w:r w:rsidRPr="00063BE7">
        <w:t xml:space="preserve">The Group IV topic on validation/verification was originally scoped by LBNL/LLNL.  </w:t>
      </w:r>
    </w:p>
    <w:p w14:paraId="2C078E63" w14:textId="77777777" w:rsidR="00C4565E" w:rsidRDefault="00C4565E" w:rsidP="00461327">
      <w:pPr>
        <w:spacing w:after="0"/>
      </w:pPr>
    </w:p>
    <w:sectPr w:rsidR="00C456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E59FA"/>
    <w:multiLevelType w:val="hybridMultilevel"/>
    <w:tmpl w:val="3AB21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AB5B00"/>
    <w:multiLevelType w:val="hybridMultilevel"/>
    <w:tmpl w:val="CE80B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906563"/>
    <w:multiLevelType w:val="multilevel"/>
    <w:tmpl w:val="CA1075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67D52F0"/>
    <w:multiLevelType w:val="hybridMultilevel"/>
    <w:tmpl w:val="02D87894"/>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4" w15:restartNumberingAfterBreak="0">
    <w:nsid w:val="36FD5253"/>
    <w:multiLevelType w:val="hybridMultilevel"/>
    <w:tmpl w:val="DD00F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565E"/>
    <w:rsid w:val="00041025"/>
    <w:rsid w:val="00063BE7"/>
    <w:rsid w:val="00067038"/>
    <w:rsid w:val="00186AC6"/>
    <w:rsid w:val="001C47F4"/>
    <w:rsid w:val="002E0908"/>
    <w:rsid w:val="002F7A19"/>
    <w:rsid w:val="00352005"/>
    <w:rsid w:val="00461327"/>
    <w:rsid w:val="00580C2A"/>
    <w:rsid w:val="005D02F4"/>
    <w:rsid w:val="0060192D"/>
    <w:rsid w:val="00640E48"/>
    <w:rsid w:val="007E326F"/>
    <w:rsid w:val="00A87AE1"/>
    <w:rsid w:val="00AA7F82"/>
    <w:rsid w:val="00BA3D3E"/>
    <w:rsid w:val="00BC585A"/>
    <w:rsid w:val="00C4565E"/>
    <w:rsid w:val="00DE06AE"/>
    <w:rsid w:val="00E260C2"/>
    <w:rsid w:val="00F31EFA"/>
    <w:rsid w:val="00FE6883"/>
    <w:rsid w:val="2D926E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10D9C"/>
  <w15:docId w15:val="{0FB61C2A-7BA0-410B-AAE3-EB1D0972D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4102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1025"/>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41025"/>
    <w:pPr>
      <w:ind w:left="720"/>
      <w:contextualSpacing/>
    </w:pPr>
  </w:style>
  <w:style w:type="paragraph" w:styleId="Title">
    <w:name w:val="Title"/>
    <w:basedOn w:val="Normal"/>
    <w:next w:val="Normal"/>
    <w:link w:val="TitleChar"/>
    <w:uiPriority w:val="10"/>
    <w:qFormat/>
    <w:rsid w:val="0004102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10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102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41025"/>
    <w:rPr>
      <w:rFonts w:eastAsiaTheme="minorEastAsia"/>
      <w:color w:val="5A5A5A" w:themeColor="text1" w:themeTint="A5"/>
      <w:spacing w:val="15"/>
    </w:rPr>
  </w:style>
  <w:style w:type="paragraph" w:styleId="BalloonText">
    <w:name w:val="Balloon Text"/>
    <w:basedOn w:val="Normal"/>
    <w:link w:val="BalloonTextChar"/>
    <w:uiPriority w:val="99"/>
    <w:semiHidden/>
    <w:unhideWhenUsed/>
    <w:rsid w:val="000410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1025"/>
    <w:rPr>
      <w:rFonts w:ascii="Tahoma" w:hAnsi="Tahoma" w:cs="Tahoma"/>
      <w:sz w:val="16"/>
      <w:szCs w:val="16"/>
    </w:rPr>
  </w:style>
  <w:style w:type="character" w:styleId="CommentReference">
    <w:name w:val="annotation reference"/>
    <w:basedOn w:val="DefaultParagraphFont"/>
    <w:uiPriority w:val="99"/>
    <w:semiHidden/>
    <w:unhideWhenUsed/>
    <w:rsid w:val="00BC585A"/>
    <w:rPr>
      <w:sz w:val="16"/>
      <w:szCs w:val="16"/>
    </w:rPr>
  </w:style>
  <w:style w:type="paragraph" w:styleId="CommentText">
    <w:name w:val="annotation text"/>
    <w:basedOn w:val="Normal"/>
    <w:link w:val="CommentTextChar"/>
    <w:uiPriority w:val="99"/>
    <w:semiHidden/>
    <w:unhideWhenUsed/>
    <w:rsid w:val="00BC585A"/>
    <w:pPr>
      <w:spacing w:line="240" w:lineRule="auto"/>
    </w:pPr>
    <w:rPr>
      <w:sz w:val="20"/>
      <w:szCs w:val="20"/>
    </w:rPr>
  </w:style>
  <w:style w:type="character" w:customStyle="1" w:styleId="CommentTextChar">
    <w:name w:val="Comment Text Char"/>
    <w:basedOn w:val="DefaultParagraphFont"/>
    <w:link w:val="CommentText"/>
    <w:uiPriority w:val="99"/>
    <w:semiHidden/>
    <w:rsid w:val="00BC585A"/>
    <w:rPr>
      <w:sz w:val="20"/>
      <w:szCs w:val="20"/>
    </w:rPr>
  </w:style>
  <w:style w:type="paragraph" w:styleId="CommentSubject">
    <w:name w:val="annotation subject"/>
    <w:basedOn w:val="CommentText"/>
    <w:next w:val="CommentText"/>
    <w:link w:val="CommentSubjectChar"/>
    <w:uiPriority w:val="99"/>
    <w:semiHidden/>
    <w:unhideWhenUsed/>
    <w:rsid w:val="00BC585A"/>
    <w:rPr>
      <w:b/>
      <w:bCs/>
    </w:rPr>
  </w:style>
  <w:style w:type="character" w:customStyle="1" w:styleId="CommentSubjectChar">
    <w:name w:val="Comment Subject Char"/>
    <w:basedOn w:val="CommentTextChar"/>
    <w:link w:val="CommentSubject"/>
    <w:uiPriority w:val="99"/>
    <w:semiHidden/>
    <w:rsid w:val="00BC585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2604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004C05-EE5A-4717-B834-D3A931345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2</Pages>
  <Words>580</Words>
  <Characters>3307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Russell</dc:creator>
  <cp:keywords/>
  <dc:description/>
  <cp:lastModifiedBy>David Castle</cp:lastModifiedBy>
  <cp:revision>18</cp:revision>
  <dcterms:created xsi:type="dcterms:W3CDTF">2017-07-17T21:28:00Z</dcterms:created>
  <dcterms:modified xsi:type="dcterms:W3CDTF">2017-07-25T15:44:00Z</dcterms:modified>
</cp:coreProperties>
</file>