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09B51D2E" w:rsidR="00062F4C" w:rsidRPr="006B3453" w:rsidRDefault="00313677" w:rsidP="004A57AB">
      <w:pPr>
        <w:pStyle w:val="Title"/>
        <w:rPr>
          <w:sz w:val="48"/>
        </w:rPr>
      </w:pPr>
      <w:r>
        <w:rPr>
          <w:sz w:val="48"/>
        </w:rPr>
        <w:t>Item 4</w:t>
      </w:r>
      <w:r w:rsidR="00062F4C" w:rsidRPr="006B3453">
        <w:rPr>
          <w:sz w:val="48"/>
        </w:rPr>
        <w:t xml:space="preserve">: </w:t>
      </w:r>
      <w:r>
        <w:rPr>
          <w:sz w:val="48"/>
        </w:rPr>
        <w:t>Develop Non-Heuristic Approach to Operational Flexibility</w:t>
      </w:r>
    </w:p>
    <w:p w14:paraId="7D43CA11" w14:textId="77777777" w:rsidR="00062F4C" w:rsidRDefault="00062F4C" w:rsidP="004A57AB">
      <w:pPr>
        <w:pStyle w:val="Subtitle"/>
        <w:spacing w:after="0"/>
      </w:pPr>
      <w:r>
        <w:t xml:space="preserve">Joint IOUs’ Initial Proposal </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5A460BE" w14:textId="01A508D8" w:rsidR="00313677" w:rsidRDefault="00313677" w:rsidP="00313677">
      <w:pPr>
        <w:pStyle w:val="ListParagraph"/>
        <w:numPr>
          <w:ilvl w:val="0"/>
          <w:numId w:val="1"/>
        </w:numPr>
        <w:spacing w:after="0"/>
      </w:pPr>
      <w:r>
        <w:t>IOUs will display ICA with and without Operational Flexibility using the “reverse flow” method</w:t>
      </w:r>
    </w:p>
    <w:p w14:paraId="6E204CC9" w14:textId="77777777" w:rsidR="00313677" w:rsidRDefault="00313677" w:rsidP="00313677">
      <w:pPr>
        <w:pStyle w:val="ListParagraph"/>
        <w:numPr>
          <w:ilvl w:val="0"/>
          <w:numId w:val="1"/>
        </w:numPr>
        <w:spacing w:after="0"/>
      </w:pPr>
      <w:r>
        <w:t>There is no established method other than performing power flows on various possible switching scenarios</w:t>
      </w:r>
    </w:p>
    <w:p w14:paraId="0E003886" w14:textId="77777777" w:rsidR="001C05F7" w:rsidRPr="00313677" w:rsidRDefault="00560F0B" w:rsidP="00313677">
      <w:pPr>
        <w:pStyle w:val="ListParagraph"/>
        <w:numPr>
          <w:ilvl w:val="0"/>
          <w:numId w:val="1"/>
        </w:numPr>
      </w:pPr>
      <w:r w:rsidRPr="00313677">
        <w:t>The IOUs continue to invite researchers and the vendor community to develop approaches to efficiently analyze abnormal conditions</w:t>
      </w:r>
    </w:p>
    <w:p w14:paraId="630BA6F6" w14:textId="3350F4B3" w:rsidR="00062F4C" w:rsidRDefault="00062F4C" w:rsidP="00313677">
      <w:pPr>
        <w:pStyle w:val="ListParagraph"/>
        <w:spacing w:after="0"/>
      </w:pPr>
    </w:p>
    <w:p w14:paraId="27714917" w14:textId="4F4B9F87" w:rsidR="00062F4C" w:rsidRDefault="00062F4C" w:rsidP="008E7279">
      <w:pPr>
        <w:pStyle w:val="Heading1"/>
        <w:spacing w:before="0"/>
      </w:pPr>
      <w:r>
        <w:t>Introduction and Background</w:t>
      </w:r>
    </w:p>
    <w:p w14:paraId="2333DC01" w14:textId="1E492CE7" w:rsidR="008E7279" w:rsidRDefault="008E7279" w:rsidP="008E7279">
      <w:pPr>
        <w:autoSpaceDE w:val="0"/>
        <w:autoSpaceDN w:val="0"/>
        <w:adjustRightInd w:val="0"/>
        <w:spacing w:after="0" w:line="240" w:lineRule="auto"/>
        <w:rPr>
          <w:rFonts w:ascii="Calibri" w:hAnsi="Calibri" w:cs="Calibri"/>
        </w:rPr>
      </w:pPr>
      <w:r>
        <w:rPr>
          <w:rFonts w:ascii="Calibri" w:hAnsi="Calibri" w:cs="Calibri"/>
        </w:rPr>
        <w:t>The intent of the safety/reliability constraint is to ensure that all operational flexibility is preserved when DERs are added to the grid. Because the ability of the grid to tolerate reverse flow depends on the configuration, by prohibiting reverse flow at these points, the ICA determines the DER adoption that produces no reverse flow in any configuration. The WG recognized that the method used to determine operational flexibility is heuristic in nature and encouraged further discussion to determine non-heuristic methods to analyze operational flexibility.</w:t>
      </w:r>
    </w:p>
    <w:p w14:paraId="15185715" w14:textId="77777777" w:rsidR="008E7279" w:rsidRDefault="008E7279" w:rsidP="008E7279">
      <w:pPr>
        <w:autoSpaceDE w:val="0"/>
        <w:autoSpaceDN w:val="0"/>
        <w:adjustRightInd w:val="0"/>
        <w:spacing w:after="0" w:line="240" w:lineRule="auto"/>
        <w:rPr>
          <w:rFonts w:ascii="Calibri" w:hAnsi="Calibri" w:cs="Calibri"/>
        </w:rPr>
      </w:pPr>
    </w:p>
    <w:p w14:paraId="6F84F82F" w14:textId="77777777" w:rsidR="00B12CA6" w:rsidRDefault="008E7279" w:rsidP="00271716">
      <w:pPr>
        <w:autoSpaceDE w:val="0"/>
        <w:autoSpaceDN w:val="0"/>
        <w:adjustRightInd w:val="0"/>
        <w:spacing w:after="0" w:line="240" w:lineRule="auto"/>
        <w:rPr>
          <w:rFonts w:ascii="Calibri" w:hAnsi="Calibri" w:cs="Calibri"/>
        </w:rPr>
      </w:pPr>
      <w:r>
        <w:rPr>
          <w:rFonts w:ascii="Calibri" w:hAnsi="Calibri" w:cs="Calibri"/>
        </w:rPr>
        <w:t>The WG agreed and recommended that the operational flexibility criterion based on no reverse power</w:t>
      </w:r>
      <w:r w:rsidR="00271716">
        <w:rPr>
          <w:rFonts w:ascii="Calibri" w:hAnsi="Calibri" w:cs="Calibri"/>
        </w:rPr>
        <w:t xml:space="preserve"> </w:t>
      </w:r>
      <w:r>
        <w:rPr>
          <w:rFonts w:ascii="Calibri" w:hAnsi="Calibri" w:cs="Calibri"/>
        </w:rPr>
        <w:t>flow across SCADA-operated devices is a reasonable short-term solution to the preservation of</w:t>
      </w:r>
      <w:r w:rsidR="00271716">
        <w:rPr>
          <w:rFonts w:ascii="Calibri" w:hAnsi="Calibri" w:cs="Calibri"/>
        </w:rPr>
        <w:t xml:space="preserve"> </w:t>
      </w:r>
      <w:r>
        <w:rPr>
          <w:rFonts w:ascii="Calibri" w:hAnsi="Calibri" w:cs="Calibri"/>
        </w:rPr>
        <w:t>operational flexibility. The WG recommended that in the first system-wide rollout of ICA results,</w:t>
      </w:r>
      <w:r w:rsidR="00271716">
        <w:rPr>
          <w:rFonts w:ascii="Calibri" w:hAnsi="Calibri" w:cs="Calibri"/>
        </w:rPr>
        <w:t xml:space="preserve"> </w:t>
      </w:r>
      <w:r>
        <w:rPr>
          <w:rFonts w:ascii="Calibri" w:hAnsi="Calibri" w:cs="Calibri"/>
        </w:rPr>
        <w:t>two sets of values be published</w:t>
      </w:r>
      <w:r w:rsidR="006B10FF">
        <w:rPr>
          <w:rFonts w:ascii="Calibri" w:hAnsi="Calibri" w:cs="Calibri"/>
        </w:rPr>
        <w:t>, one with Operational Flexibility as a constraint and the other without.</w:t>
      </w:r>
      <w:r w:rsidR="00B12CA6">
        <w:rPr>
          <w:rFonts w:ascii="Calibri" w:hAnsi="Calibri" w:cs="Calibri"/>
        </w:rPr>
        <w:t xml:space="preserve"> </w:t>
      </w:r>
    </w:p>
    <w:p w14:paraId="566D653E" w14:textId="77777777" w:rsidR="00B12CA6" w:rsidRDefault="00B12CA6" w:rsidP="00B12CA6"/>
    <w:p w14:paraId="400DC907" w14:textId="5B3226DF" w:rsidR="00062F4C" w:rsidRDefault="00062F4C" w:rsidP="00271716">
      <w:pPr>
        <w:autoSpaceDE w:val="0"/>
        <w:autoSpaceDN w:val="0"/>
        <w:adjustRightInd w:val="0"/>
        <w:spacing w:after="0" w:line="240" w:lineRule="auto"/>
      </w:pPr>
      <w:r w:rsidRPr="00B12CA6">
        <w:rPr>
          <w:rFonts w:asciiTheme="majorHAnsi" w:eastAsiaTheme="majorEastAsia" w:hAnsiTheme="majorHAnsi" w:cstheme="majorBidi"/>
          <w:color w:val="2E74B5" w:themeColor="accent1" w:themeShade="BF"/>
          <w:sz w:val="32"/>
          <w:szCs w:val="32"/>
        </w:rPr>
        <w:t>Discussion</w:t>
      </w:r>
    </w:p>
    <w:p w14:paraId="36495E94" w14:textId="77777777" w:rsidR="00B12CA6" w:rsidRDefault="00560F0B" w:rsidP="00B12CA6">
      <w:r w:rsidRPr="00560F0B">
        <w:t>The IOUs will display ICA with and without “Reverse Flow” Operational Flexibility</w:t>
      </w:r>
      <w:r w:rsidR="006B10FF">
        <w:t xml:space="preserve"> for implementation of </w:t>
      </w:r>
      <w:r w:rsidR="006B10FF" w:rsidRPr="006B10FF">
        <w:t xml:space="preserve">ICA.  </w:t>
      </w:r>
      <w:r w:rsidRPr="006B10FF">
        <w:rPr>
          <w:iCs/>
        </w:rPr>
        <w:t>No</w:t>
      </w:r>
      <w:r w:rsidR="006B10FF">
        <w:rPr>
          <w:iCs/>
        </w:rPr>
        <w:t xml:space="preserve"> additional</w:t>
      </w:r>
      <w:r w:rsidRPr="006B10FF">
        <w:rPr>
          <w:iCs/>
        </w:rPr>
        <w:t xml:space="preserve"> analy</w:t>
      </w:r>
      <w:r w:rsidR="006B10FF">
        <w:rPr>
          <w:iCs/>
        </w:rPr>
        <w:t>tical</w:t>
      </w:r>
      <w:r w:rsidRPr="006B10FF">
        <w:rPr>
          <w:iCs/>
        </w:rPr>
        <w:t xml:space="preserve"> approaches</w:t>
      </w:r>
      <w:r w:rsidR="006B10FF">
        <w:rPr>
          <w:iCs/>
        </w:rPr>
        <w:t xml:space="preserve"> were provided to the working group other</w:t>
      </w:r>
      <w:r w:rsidRPr="006B10FF">
        <w:rPr>
          <w:iCs/>
        </w:rPr>
        <w:t xml:space="preserve"> than what utilities have performed</w:t>
      </w:r>
      <w:r w:rsidR="006B10FF">
        <w:rPr>
          <w:iCs/>
        </w:rPr>
        <w:t xml:space="preserve"> using reverse flow.  Because of this the IOUs will start working with the vendor and research community on best methods to analyze abnormal switching conditions.</w:t>
      </w:r>
    </w:p>
    <w:p w14:paraId="1411B75B" w14:textId="3D17FEEA" w:rsidR="001C05F7" w:rsidRPr="006B10FF" w:rsidRDefault="00B12CA6" w:rsidP="00B12CA6">
      <w:r>
        <w:t>While the IOUs look to implement this approach, there will be c</w:t>
      </w:r>
      <w:r w:rsidR="00560F0B" w:rsidRPr="006B10FF">
        <w:rPr>
          <w:iCs/>
        </w:rPr>
        <w:t xml:space="preserve">hallenges to face in performing </w:t>
      </w:r>
      <w:r>
        <w:rPr>
          <w:iCs/>
        </w:rPr>
        <w:t>it in a completely non-heuristic manner:</w:t>
      </w:r>
    </w:p>
    <w:p w14:paraId="06B3DD3A" w14:textId="77777777" w:rsidR="001C05F7" w:rsidRPr="00B12CA6" w:rsidRDefault="00560F0B" w:rsidP="00B12CA6">
      <w:pPr>
        <w:pStyle w:val="ListParagraph"/>
        <w:numPr>
          <w:ilvl w:val="0"/>
          <w:numId w:val="6"/>
        </w:numPr>
        <w:spacing w:after="0" w:line="240" w:lineRule="auto"/>
      </w:pPr>
      <w:r w:rsidRPr="00B12CA6">
        <w:rPr>
          <w:iCs/>
        </w:rPr>
        <w:t>There is no efficient method to create abnormal switching conditions in vendor tools other than manually opening and closing switches</w:t>
      </w:r>
    </w:p>
    <w:p w14:paraId="5C9B247B" w14:textId="0367F0D5" w:rsidR="00B12CA6" w:rsidRPr="006B10FF" w:rsidRDefault="00B12CA6" w:rsidP="00B12CA6">
      <w:pPr>
        <w:pStyle w:val="ListParagraph"/>
        <w:numPr>
          <w:ilvl w:val="0"/>
          <w:numId w:val="6"/>
        </w:numPr>
        <w:spacing w:after="0" w:line="240" w:lineRule="auto"/>
      </w:pPr>
      <w:r>
        <w:rPr>
          <w:iCs/>
        </w:rPr>
        <w:t>There could be hundreds of switching scenarios for a circuit so we must find a way to limit and decide which will be the most applicable configurations</w:t>
      </w:r>
    </w:p>
    <w:p w14:paraId="47B8F875" w14:textId="2C2A209C" w:rsidR="00B12CA6" w:rsidRDefault="00560F0B" w:rsidP="00B12CA6">
      <w:pPr>
        <w:pStyle w:val="ListParagraph"/>
        <w:numPr>
          <w:ilvl w:val="0"/>
          <w:numId w:val="6"/>
        </w:numPr>
        <w:spacing w:after="0" w:line="240" w:lineRule="auto"/>
      </w:pPr>
      <w:r w:rsidRPr="00B12CA6">
        <w:rPr>
          <w:iCs/>
        </w:rPr>
        <w:t>Calculation times and computing costs will significantly increase due to the multitude of possible switching conditions</w:t>
      </w:r>
    </w:p>
    <w:p w14:paraId="6731DD48" w14:textId="77777777" w:rsidR="00B12CA6" w:rsidRDefault="00B12CA6" w:rsidP="00B12CA6">
      <w:pPr>
        <w:spacing w:after="0" w:line="240" w:lineRule="auto"/>
      </w:pPr>
    </w:p>
    <w:p w14:paraId="7BE33528" w14:textId="2E6D02A9" w:rsidR="00B12CA6" w:rsidRDefault="00B12CA6" w:rsidP="00B12CA6">
      <w:pPr>
        <w:spacing w:after="0" w:line="240" w:lineRule="auto"/>
      </w:pPr>
      <w:r>
        <w:lastRenderedPageBreak/>
        <w:t xml:space="preserve">EPRI was invited to speak on recent work that they have been performing on Operational Flexibility.  </w:t>
      </w:r>
      <w:r w:rsidR="00194060">
        <w:t>They believe that the best procedure to determine absolute minimum hosting capacity for feeders is to analyze each individual state.  Because of this EPRI believes that:</w:t>
      </w:r>
    </w:p>
    <w:p w14:paraId="3D3D593D" w14:textId="2ADA0E96" w:rsidR="00194060" w:rsidRDefault="00194060" w:rsidP="00194060">
      <w:pPr>
        <w:pStyle w:val="ListParagraph"/>
        <w:numPr>
          <w:ilvl w:val="0"/>
          <w:numId w:val="7"/>
        </w:numPr>
        <w:spacing w:after="0" w:line="240" w:lineRule="auto"/>
      </w:pPr>
      <w:r>
        <w:t>Planning Margins for a reduction in hosting capacity would be difficult to mandate</w:t>
      </w:r>
    </w:p>
    <w:p w14:paraId="4437C6FF" w14:textId="3ADA133B" w:rsidR="00194060" w:rsidRDefault="00194060" w:rsidP="00194060">
      <w:pPr>
        <w:pStyle w:val="ListParagraph"/>
        <w:numPr>
          <w:ilvl w:val="0"/>
          <w:numId w:val="7"/>
        </w:numPr>
        <w:spacing w:after="0" w:line="240" w:lineRule="auto"/>
      </w:pPr>
      <w:r>
        <w:t>Operational Flexibility may be impractical to pre-calculate and better applied in operations on a</w:t>
      </w:r>
      <w:r w:rsidR="00AF5550">
        <w:t>n</w:t>
      </w:r>
      <w:bookmarkStart w:id="0" w:name="_GoBack"/>
      <w:bookmarkEnd w:id="0"/>
      <w:r>
        <w:t xml:space="preserve"> as configured as needed basis.</w:t>
      </w:r>
    </w:p>
    <w:p w14:paraId="36E3DF94" w14:textId="77777777" w:rsidR="00194060" w:rsidRDefault="00194060" w:rsidP="00194060">
      <w:pPr>
        <w:spacing w:after="0" w:line="240" w:lineRule="auto"/>
      </w:pPr>
    </w:p>
    <w:p w14:paraId="1BFEC09D" w14:textId="4B0EFB65" w:rsidR="00194060" w:rsidRDefault="00194060" w:rsidP="00194060">
      <w:pPr>
        <w:spacing w:after="0" w:line="240" w:lineRule="auto"/>
      </w:pPr>
      <w:r>
        <w:t>The working group seems to general agree with these two statements.  We are in line with point 1 with our implementation of displaying ICA with and without the operational flexibility constraint applied.  As for point 2, the working group also generally agrees that while informative, this constraint may be better applied in an operational sense within a Distributed Energy Management System.  Operational flexibility could be too constraining to be applied as a planning margin within interconnection. However, the working group will work with the Rule 21 working groups to decide how the limit can help inform specific requirements that may be needed within the interconnection process.</w:t>
      </w:r>
    </w:p>
    <w:p w14:paraId="172FF8F1" w14:textId="77777777" w:rsidR="00194060" w:rsidRDefault="00194060" w:rsidP="00194060">
      <w:pPr>
        <w:spacing w:after="0" w:line="240" w:lineRule="auto"/>
      </w:pPr>
    </w:p>
    <w:p w14:paraId="07407418" w14:textId="77777777" w:rsidR="00062F4C" w:rsidRDefault="00062F4C" w:rsidP="004A57AB">
      <w:pPr>
        <w:pStyle w:val="Heading1"/>
        <w:spacing w:before="0"/>
      </w:pPr>
      <w:r>
        <w:t>Conclusion and Next Steps</w:t>
      </w:r>
    </w:p>
    <w:p w14:paraId="4EB28446" w14:textId="36019C2F" w:rsidR="006B3453" w:rsidRDefault="006B10FF" w:rsidP="004A57AB">
      <w:pPr>
        <w:pStyle w:val="ListParagraph"/>
        <w:numPr>
          <w:ilvl w:val="0"/>
          <w:numId w:val="3"/>
        </w:numPr>
        <w:spacing w:after="0"/>
      </w:pPr>
      <w:r>
        <w:t>IOUs will display ICA with and without Operational Flexibility using the “reverse flow” method</w:t>
      </w:r>
    </w:p>
    <w:p w14:paraId="76D181B3" w14:textId="2CD926E2" w:rsidR="006B10FF" w:rsidRDefault="006B10FF" w:rsidP="004A57AB">
      <w:pPr>
        <w:pStyle w:val="ListParagraph"/>
        <w:numPr>
          <w:ilvl w:val="0"/>
          <w:numId w:val="3"/>
        </w:numPr>
        <w:spacing w:after="0"/>
      </w:pPr>
      <w:r>
        <w:t>IOUs will work with vendor and research community on efficient and reasonable techniques to perform ICA on abnormal switching conditions.</w:t>
      </w:r>
    </w:p>
    <w:p w14:paraId="5E69ACEE" w14:textId="2B60F34C" w:rsidR="006B10FF" w:rsidRPr="006B3453" w:rsidRDefault="006B10FF" w:rsidP="004A57AB">
      <w:pPr>
        <w:pStyle w:val="ListParagraph"/>
        <w:numPr>
          <w:ilvl w:val="0"/>
          <w:numId w:val="3"/>
        </w:numPr>
        <w:spacing w:after="0"/>
      </w:pPr>
      <w:r>
        <w:t>Coordinate with Rule 21 ICA Working Group on best application of “Operational Flexibility” within the interconnection rules and process.</w:t>
      </w:r>
    </w:p>
    <w:sectPr w:rsidR="006B10FF" w:rsidRPr="006B3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516642"/>
    <w:multiLevelType w:val="hybridMultilevel"/>
    <w:tmpl w:val="994C6E36"/>
    <w:lvl w:ilvl="0" w:tplc="6BE46B98">
      <w:start w:val="1"/>
      <w:numFmt w:val="bullet"/>
      <w:lvlText w:val="•"/>
      <w:lvlJc w:val="left"/>
      <w:pPr>
        <w:tabs>
          <w:tab w:val="num" w:pos="720"/>
        </w:tabs>
        <w:ind w:left="720" w:hanging="360"/>
      </w:pPr>
      <w:rPr>
        <w:rFonts w:ascii="Arial" w:hAnsi="Arial" w:hint="default"/>
      </w:rPr>
    </w:lvl>
    <w:lvl w:ilvl="1" w:tplc="244026EC">
      <w:start w:val="2424"/>
      <w:numFmt w:val="bullet"/>
      <w:lvlText w:val="–"/>
      <w:lvlJc w:val="left"/>
      <w:pPr>
        <w:tabs>
          <w:tab w:val="num" w:pos="1440"/>
        </w:tabs>
        <w:ind w:left="1440" w:hanging="360"/>
      </w:pPr>
      <w:rPr>
        <w:rFonts w:ascii="Arial" w:hAnsi="Arial" w:hint="default"/>
      </w:rPr>
    </w:lvl>
    <w:lvl w:ilvl="2" w:tplc="A97A444E">
      <w:start w:val="1180"/>
      <w:numFmt w:val="bullet"/>
      <w:lvlText w:val="•"/>
      <w:lvlJc w:val="left"/>
      <w:pPr>
        <w:tabs>
          <w:tab w:val="num" w:pos="2160"/>
        </w:tabs>
        <w:ind w:left="2160" w:hanging="360"/>
      </w:pPr>
      <w:rPr>
        <w:rFonts w:ascii="Arial" w:hAnsi="Arial" w:hint="default"/>
      </w:rPr>
    </w:lvl>
    <w:lvl w:ilvl="3" w:tplc="E1E21924" w:tentative="1">
      <w:start w:val="1"/>
      <w:numFmt w:val="bullet"/>
      <w:lvlText w:val="•"/>
      <w:lvlJc w:val="left"/>
      <w:pPr>
        <w:tabs>
          <w:tab w:val="num" w:pos="2880"/>
        </w:tabs>
        <w:ind w:left="2880" w:hanging="360"/>
      </w:pPr>
      <w:rPr>
        <w:rFonts w:ascii="Arial" w:hAnsi="Arial" w:hint="default"/>
      </w:rPr>
    </w:lvl>
    <w:lvl w:ilvl="4" w:tplc="CE460D94" w:tentative="1">
      <w:start w:val="1"/>
      <w:numFmt w:val="bullet"/>
      <w:lvlText w:val="•"/>
      <w:lvlJc w:val="left"/>
      <w:pPr>
        <w:tabs>
          <w:tab w:val="num" w:pos="3600"/>
        </w:tabs>
        <w:ind w:left="3600" w:hanging="360"/>
      </w:pPr>
      <w:rPr>
        <w:rFonts w:ascii="Arial" w:hAnsi="Arial" w:hint="default"/>
      </w:rPr>
    </w:lvl>
    <w:lvl w:ilvl="5" w:tplc="385CABA4" w:tentative="1">
      <w:start w:val="1"/>
      <w:numFmt w:val="bullet"/>
      <w:lvlText w:val="•"/>
      <w:lvlJc w:val="left"/>
      <w:pPr>
        <w:tabs>
          <w:tab w:val="num" w:pos="4320"/>
        </w:tabs>
        <w:ind w:left="4320" w:hanging="360"/>
      </w:pPr>
      <w:rPr>
        <w:rFonts w:ascii="Arial" w:hAnsi="Arial" w:hint="default"/>
      </w:rPr>
    </w:lvl>
    <w:lvl w:ilvl="6" w:tplc="3106281A" w:tentative="1">
      <w:start w:val="1"/>
      <w:numFmt w:val="bullet"/>
      <w:lvlText w:val="•"/>
      <w:lvlJc w:val="left"/>
      <w:pPr>
        <w:tabs>
          <w:tab w:val="num" w:pos="5040"/>
        </w:tabs>
        <w:ind w:left="5040" w:hanging="360"/>
      </w:pPr>
      <w:rPr>
        <w:rFonts w:ascii="Arial" w:hAnsi="Arial" w:hint="default"/>
      </w:rPr>
    </w:lvl>
    <w:lvl w:ilvl="7" w:tplc="B56C681C" w:tentative="1">
      <w:start w:val="1"/>
      <w:numFmt w:val="bullet"/>
      <w:lvlText w:val="•"/>
      <w:lvlJc w:val="left"/>
      <w:pPr>
        <w:tabs>
          <w:tab w:val="num" w:pos="5760"/>
        </w:tabs>
        <w:ind w:left="5760" w:hanging="360"/>
      </w:pPr>
      <w:rPr>
        <w:rFonts w:ascii="Arial" w:hAnsi="Arial" w:hint="default"/>
      </w:rPr>
    </w:lvl>
    <w:lvl w:ilvl="8" w:tplc="5AEC75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0D11C81"/>
    <w:multiLevelType w:val="hybridMultilevel"/>
    <w:tmpl w:val="694C1DFA"/>
    <w:lvl w:ilvl="0" w:tplc="5030D648">
      <w:start w:val="1"/>
      <w:numFmt w:val="bullet"/>
      <w:lvlText w:val="–"/>
      <w:lvlJc w:val="left"/>
      <w:pPr>
        <w:tabs>
          <w:tab w:val="num" w:pos="720"/>
        </w:tabs>
        <w:ind w:left="720" w:hanging="360"/>
      </w:pPr>
      <w:rPr>
        <w:rFonts w:ascii="Arial" w:hAnsi="Arial" w:hint="default"/>
      </w:rPr>
    </w:lvl>
    <w:lvl w:ilvl="1" w:tplc="22C68568">
      <w:start w:val="1"/>
      <w:numFmt w:val="bullet"/>
      <w:lvlText w:val="–"/>
      <w:lvlJc w:val="left"/>
      <w:pPr>
        <w:tabs>
          <w:tab w:val="num" w:pos="1440"/>
        </w:tabs>
        <w:ind w:left="1440" w:hanging="360"/>
      </w:pPr>
      <w:rPr>
        <w:rFonts w:ascii="Arial" w:hAnsi="Arial" w:hint="default"/>
      </w:rPr>
    </w:lvl>
    <w:lvl w:ilvl="2" w:tplc="512A0C2E" w:tentative="1">
      <w:start w:val="1"/>
      <w:numFmt w:val="bullet"/>
      <w:lvlText w:val="–"/>
      <w:lvlJc w:val="left"/>
      <w:pPr>
        <w:tabs>
          <w:tab w:val="num" w:pos="2160"/>
        </w:tabs>
        <w:ind w:left="2160" w:hanging="360"/>
      </w:pPr>
      <w:rPr>
        <w:rFonts w:ascii="Arial" w:hAnsi="Arial" w:hint="default"/>
      </w:rPr>
    </w:lvl>
    <w:lvl w:ilvl="3" w:tplc="ACFE36F8" w:tentative="1">
      <w:start w:val="1"/>
      <w:numFmt w:val="bullet"/>
      <w:lvlText w:val="–"/>
      <w:lvlJc w:val="left"/>
      <w:pPr>
        <w:tabs>
          <w:tab w:val="num" w:pos="2880"/>
        </w:tabs>
        <w:ind w:left="2880" w:hanging="360"/>
      </w:pPr>
      <w:rPr>
        <w:rFonts w:ascii="Arial" w:hAnsi="Arial" w:hint="default"/>
      </w:rPr>
    </w:lvl>
    <w:lvl w:ilvl="4" w:tplc="519E9BD6" w:tentative="1">
      <w:start w:val="1"/>
      <w:numFmt w:val="bullet"/>
      <w:lvlText w:val="–"/>
      <w:lvlJc w:val="left"/>
      <w:pPr>
        <w:tabs>
          <w:tab w:val="num" w:pos="3600"/>
        </w:tabs>
        <w:ind w:left="3600" w:hanging="360"/>
      </w:pPr>
      <w:rPr>
        <w:rFonts w:ascii="Arial" w:hAnsi="Arial" w:hint="default"/>
      </w:rPr>
    </w:lvl>
    <w:lvl w:ilvl="5" w:tplc="FF90CC18" w:tentative="1">
      <w:start w:val="1"/>
      <w:numFmt w:val="bullet"/>
      <w:lvlText w:val="–"/>
      <w:lvlJc w:val="left"/>
      <w:pPr>
        <w:tabs>
          <w:tab w:val="num" w:pos="4320"/>
        </w:tabs>
        <w:ind w:left="4320" w:hanging="360"/>
      </w:pPr>
      <w:rPr>
        <w:rFonts w:ascii="Arial" w:hAnsi="Arial" w:hint="default"/>
      </w:rPr>
    </w:lvl>
    <w:lvl w:ilvl="6" w:tplc="66D8EE32" w:tentative="1">
      <w:start w:val="1"/>
      <w:numFmt w:val="bullet"/>
      <w:lvlText w:val="–"/>
      <w:lvlJc w:val="left"/>
      <w:pPr>
        <w:tabs>
          <w:tab w:val="num" w:pos="5040"/>
        </w:tabs>
        <w:ind w:left="5040" w:hanging="360"/>
      </w:pPr>
      <w:rPr>
        <w:rFonts w:ascii="Arial" w:hAnsi="Arial" w:hint="default"/>
      </w:rPr>
    </w:lvl>
    <w:lvl w:ilvl="7" w:tplc="AF6EC062" w:tentative="1">
      <w:start w:val="1"/>
      <w:numFmt w:val="bullet"/>
      <w:lvlText w:val="–"/>
      <w:lvlJc w:val="left"/>
      <w:pPr>
        <w:tabs>
          <w:tab w:val="num" w:pos="5760"/>
        </w:tabs>
        <w:ind w:left="5760" w:hanging="360"/>
      </w:pPr>
      <w:rPr>
        <w:rFonts w:ascii="Arial" w:hAnsi="Arial" w:hint="default"/>
      </w:rPr>
    </w:lvl>
    <w:lvl w:ilvl="8" w:tplc="F252CD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8C5242D"/>
    <w:multiLevelType w:val="hybridMultilevel"/>
    <w:tmpl w:val="21F06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9A0E98"/>
    <w:multiLevelType w:val="hybridMultilevel"/>
    <w:tmpl w:val="16367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31FB8"/>
    <w:rsid w:val="00062F4C"/>
    <w:rsid w:val="00194060"/>
    <w:rsid w:val="001C05F7"/>
    <w:rsid w:val="00271716"/>
    <w:rsid w:val="00313677"/>
    <w:rsid w:val="004A57AB"/>
    <w:rsid w:val="00560F0B"/>
    <w:rsid w:val="005B0322"/>
    <w:rsid w:val="006B10FF"/>
    <w:rsid w:val="006B3453"/>
    <w:rsid w:val="006C5B08"/>
    <w:rsid w:val="0081748C"/>
    <w:rsid w:val="008E7279"/>
    <w:rsid w:val="00AF5550"/>
    <w:rsid w:val="00B12CA6"/>
    <w:rsid w:val="00C744FE"/>
    <w:rsid w:val="00DA043F"/>
    <w:rsid w:val="00F01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0923A81D-616D-4673-9A7C-9E071C17B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407220">
      <w:bodyDiv w:val="1"/>
      <w:marLeft w:val="0"/>
      <w:marRight w:val="0"/>
      <w:marTop w:val="0"/>
      <w:marBottom w:val="0"/>
      <w:divBdr>
        <w:top w:val="none" w:sz="0" w:space="0" w:color="auto"/>
        <w:left w:val="none" w:sz="0" w:space="0" w:color="auto"/>
        <w:bottom w:val="none" w:sz="0" w:space="0" w:color="auto"/>
        <w:right w:val="none" w:sz="0" w:space="0" w:color="auto"/>
      </w:divBdr>
      <w:divsChild>
        <w:div w:id="1456371159">
          <w:marLeft w:val="547"/>
          <w:marRight w:val="0"/>
          <w:marTop w:val="77"/>
          <w:marBottom w:val="0"/>
          <w:divBdr>
            <w:top w:val="none" w:sz="0" w:space="0" w:color="auto"/>
            <w:left w:val="none" w:sz="0" w:space="0" w:color="auto"/>
            <w:bottom w:val="none" w:sz="0" w:space="0" w:color="auto"/>
            <w:right w:val="none" w:sz="0" w:space="0" w:color="auto"/>
          </w:divBdr>
        </w:div>
        <w:div w:id="1682321637">
          <w:marLeft w:val="1166"/>
          <w:marRight w:val="0"/>
          <w:marTop w:val="77"/>
          <w:marBottom w:val="0"/>
          <w:divBdr>
            <w:top w:val="none" w:sz="0" w:space="0" w:color="auto"/>
            <w:left w:val="none" w:sz="0" w:space="0" w:color="auto"/>
            <w:bottom w:val="none" w:sz="0" w:space="0" w:color="auto"/>
            <w:right w:val="none" w:sz="0" w:space="0" w:color="auto"/>
          </w:divBdr>
        </w:div>
        <w:div w:id="173617617">
          <w:marLeft w:val="1166"/>
          <w:marRight w:val="0"/>
          <w:marTop w:val="77"/>
          <w:marBottom w:val="0"/>
          <w:divBdr>
            <w:top w:val="none" w:sz="0" w:space="0" w:color="auto"/>
            <w:left w:val="none" w:sz="0" w:space="0" w:color="auto"/>
            <w:bottom w:val="none" w:sz="0" w:space="0" w:color="auto"/>
            <w:right w:val="none" w:sz="0" w:space="0" w:color="auto"/>
          </w:divBdr>
        </w:div>
        <w:div w:id="332226392">
          <w:marLeft w:val="1166"/>
          <w:marRight w:val="0"/>
          <w:marTop w:val="77"/>
          <w:marBottom w:val="0"/>
          <w:divBdr>
            <w:top w:val="none" w:sz="0" w:space="0" w:color="auto"/>
            <w:left w:val="none" w:sz="0" w:space="0" w:color="auto"/>
            <w:bottom w:val="none" w:sz="0" w:space="0" w:color="auto"/>
            <w:right w:val="none" w:sz="0" w:space="0" w:color="auto"/>
          </w:divBdr>
        </w:div>
        <w:div w:id="427119369">
          <w:marLeft w:val="1800"/>
          <w:marRight w:val="0"/>
          <w:marTop w:val="67"/>
          <w:marBottom w:val="0"/>
          <w:divBdr>
            <w:top w:val="none" w:sz="0" w:space="0" w:color="auto"/>
            <w:left w:val="none" w:sz="0" w:space="0" w:color="auto"/>
            <w:bottom w:val="none" w:sz="0" w:space="0" w:color="auto"/>
            <w:right w:val="none" w:sz="0" w:space="0" w:color="auto"/>
          </w:divBdr>
        </w:div>
        <w:div w:id="537737176">
          <w:marLeft w:val="1800"/>
          <w:marRight w:val="0"/>
          <w:marTop w:val="67"/>
          <w:marBottom w:val="0"/>
          <w:divBdr>
            <w:top w:val="none" w:sz="0" w:space="0" w:color="auto"/>
            <w:left w:val="none" w:sz="0" w:space="0" w:color="auto"/>
            <w:bottom w:val="none" w:sz="0" w:space="0" w:color="auto"/>
            <w:right w:val="none" w:sz="0" w:space="0" w:color="auto"/>
          </w:divBdr>
        </w:div>
        <w:div w:id="1416052257">
          <w:marLeft w:val="1800"/>
          <w:marRight w:val="0"/>
          <w:marTop w:val="67"/>
          <w:marBottom w:val="0"/>
          <w:divBdr>
            <w:top w:val="none" w:sz="0" w:space="0" w:color="auto"/>
            <w:left w:val="none" w:sz="0" w:space="0" w:color="auto"/>
            <w:bottom w:val="none" w:sz="0" w:space="0" w:color="auto"/>
            <w:right w:val="none" w:sz="0" w:space="0" w:color="auto"/>
          </w:divBdr>
        </w:div>
      </w:divsChild>
    </w:div>
    <w:div w:id="1031226388">
      <w:bodyDiv w:val="1"/>
      <w:marLeft w:val="0"/>
      <w:marRight w:val="0"/>
      <w:marTop w:val="0"/>
      <w:marBottom w:val="0"/>
      <w:divBdr>
        <w:top w:val="none" w:sz="0" w:space="0" w:color="auto"/>
        <w:left w:val="none" w:sz="0" w:space="0" w:color="auto"/>
        <w:bottom w:val="none" w:sz="0" w:space="0" w:color="auto"/>
        <w:right w:val="none" w:sz="0" w:space="0" w:color="auto"/>
      </w:divBdr>
      <w:divsChild>
        <w:div w:id="710761090">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666</Words>
  <Characters>3308</Characters>
  <Application>Microsoft Office Word</Application>
  <DocSecurity>0</DocSecurity>
  <Lines>254</Lines>
  <Paragraphs>172</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3802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David Castle</cp:lastModifiedBy>
  <cp:revision>7</cp:revision>
  <dcterms:created xsi:type="dcterms:W3CDTF">2017-09-21T01:56:00Z</dcterms:created>
  <dcterms:modified xsi:type="dcterms:W3CDTF">2017-09-29T20:48:00Z</dcterms:modified>
</cp:coreProperties>
</file>