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E3ECE" w14:textId="2A0DA022" w:rsidR="00041025" w:rsidRPr="006B3453" w:rsidRDefault="00BA3D3E" w:rsidP="00461327">
      <w:pPr>
        <w:pStyle w:val="Title"/>
        <w:rPr>
          <w:sz w:val="48"/>
          <w:szCs w:val="48"/>
        </w:rPr>
      </w:pPr>
      <w:r>
        <w:rPr>
          <w:sz w:val="48"/>
          <w:szCs w:val="48"/>
        </w:rPr>
        <w:t>Item</w:t>
      </w:r>
      <w:r w:rsidR="00041025" w:rsidRPr="2D926EEB">
        <w:rPr>
          <w:sz w:val="48"/>
          <w:szCs w:val="48"/>
        </w:rPr>
        <w:t xml:space="preserve"> </w:t>
      </w:r>
      <w:r w:rsidR="0049448A">
        <w:rPr>
          <w:sz w:val="48"/>
          <w:szCs w:val="48"/>
        </w:rPr>
        <w:t>1</w:t>
      </w:r>
      <w:r w:rsidR="00041025" w:rsidRPr="2D926EEB">
        <w:rPr>
          <w:sz w:val="48"/>
          <w:szCs w:val="48"/>
        </w:rPr>
        <w:t xml:space="preserve">: </w:t>
      </w:r>
      <w:r w:rsidR="0049448A">
        <w:rPr>
          <w:sz w:val="48"/>
          <w:szCs w:val="48"/>
        </w:rPr>
        <w:t>Planning Use Case</w:t>
      </w:r>
    </w:p>
    <w:p w14:paraId="427C4C76" w14:textId="77777777" w:rsidR="00041025" w:rsidRDefault="00041025" w:rsidP="00461327">
      <w:pPr>
        <w:pStyle w:val="Subtitle"/>
        <w:spacing w:after="0"/>
      </w:pPr>
      <w:r>
        <w:t xml:space="preserve">Joint IOUs’ Initial Proposal </w:t>
      </w:r>
    </w:p>
    <w:p w14:paraId="2A569797" w14:textId="4F713E6E" w:rsidR="00041025" w:rsidRDefault="00041025" w:rsidP="00461327">
      <w:pPr>
        <w:pStyle w:val="Subtitle"/>
        <w:spacing w:after="0"/>
      </w:pPr>
      <w:r>
        <w:t>ICA Working Group</w:t>
      </w:r>
    </w:p>
    <w:p w14:paraId="0ABEE060" w14:textId="77777777" w:rsidR="00461327" w:rsidRPr="00461327" w:rsidRDefault="00461327" w:rsidP="00461327"/>
    <w:p w14:paraId="57024249" w14:textId="77777777" w:rsidR="00041025" w:rsidRDefault="00041025" w:rsidP="00461327">
      <w:pPr>
        <w:pStyle w:val="Heading1"/>
        <w:spacing w:before="0"/>
      </w:pPr>
      <w:r>
        <w:t>Summary of Recommendations</w:t>
      </w:r>
    </w:p>
    <w:p w14:paraId="5689EEA4" w14:textId="339B5195" w:rsidR="0022237C" w:rsidRDefault="005E0904" w:rsidP="005E0904">
      <w:pPr>
        <w:pStyle w:val="ListParagraph"/>
        <w:numPr>
          <w:ilvl w:val="0"/>
          <w:numId w:val="1"/>
        </w:numPr>
        <w:spacing w:after="0"/>
      </w:pPr>
      <w:r>
        <w:t>IOUs recommend that the term “planning” use case refer only to use cases that will directly feed into distribution planning activities.</w:t>
      </w:r>
      <w:r w:rsidRPr="005E0904">
        <w:t xml:space="preserve"> </w:t>
      </w:r>
      <w:r>
        <w:t>The two visions should be considered separate and distinct use cases.</w:t>
      </w:r>
    </w:p>
    <w:p w14:paraId="5209E086" w14:textId="0AEEE89E" w:rsidR="0084747E" w:rsidRDefault="00CD5620" w:rsidP="0051754A">
      <w:pPr>
        <w:pStyle w:val="ListParagraph"/>
        <w:numPr>
          <w:ilvl w:val="0"/>
          <w:numId w:val="1"/>
        </w:numPr>
        <w:spacing w:after="0"/>
      </w:pPr>
      <w:r>
        <w:t>E</w:t>
      </w:r>
      <w:r w:rsidR="0085645D">
        <w:t>valuate proposed options</w:t>
      </w:r>
      <w:r>
        <w:t xml:space="preserve"> </w:t>
      </w:r>
      <w:r w:rsidR="0085645D">
        <w:t xml:space="preserve">of assessing </w:t>
      </w:r>
      <w:r>
        <w:t>DER growth scenarios</w:t>
      </w:r>
      <w:r w:rsidR="0085645D">
        <w:t xml:space="preserve"> within ICA</w:t>
      </w:r>
    </w:p>
    <w:p w14:paraId="5764092E" w14:textId="7535278D" w:rsidR="008C12AE" w:rsidRPr="00461327" w:rsidRDefault="008C12AE" w:rsidP="00CD5620">
      <w:pPr>
        <w:pStyle w:val="ListParagraph"/>
        <w:spacing w:after="0"/>
      </w:pPr>
    </w:p>
    <w:p w14:paraId="79FD7863" w14:textId="77777777" w:rsidR="00461327" w:rsidRDefault="00461327" w:rsidP="00461327">
      <w:pPr>
        <w:spacing w:after="0"/>
      </w:pPr>
    </w:p>
    <w:p w14:paraId="4B1A7239" w14:textId="5FFE1CB4" w:rsidR="0060192D" w:rsidRDefault="00041025" w:rsidP="00461327">
      <w:pPr>
        <w:pStyle w:val="Heading1"/>
        <w:spacing w:before="0"/>
      </w:pPr>
      <w:r>
        <w:t>Introduction and Background</w:t>
      </w:r>
    </w:p>
    <w:p w14:paraId="4E8AB513" w14:textId="57E2CA5A" w:rsidR="0051754A" w:rsidRDefault="38347171" w:rsidP="0049448A">
      <w:pPr>
        <w:spacing w:after="0"/>
      </w:pPr>
      <w:r>
        <w:t xml:space="preserve">The ICA WG identified two use cases for ICA: 1) to inform and improve the Rule 21 interconnection process, and 2) to inform and identify DER growth constraints and opportunities in the planning process. The interconnection use case is detailed in the Final ICA WG report. With regards to planning, the ICA may be used to inform the distribution planning process by identifying when and where capacity upgrades may be needed as a result of DER growth, as well as where there is opportunity for additional DER deployment and where DERs could be used to address capacity constraints using various growth scenarios. The ICA has been identified by the CPUC for use in multiple planning processes, including, but not limited to, grid modernization (within the DRP proceeding) and the IRP proceeding. </w:t>
      </w:r>
    </w:p>
    <w:p w14:paraId="03643634" w14:textId="77777777" w:rsidR="0051754A" w:rsidRDefault="0051754A" w:rsidP="0049448A">
      <w:pPr>
        <w:spacing w:after="0"/>
      </w:pPr>
    </w:p>
    <w:p w14:paraId="243CFE73" w14:textId="75304F92" w:rsidR="00041025" w:rsidRDefault="38347171" w:rsidP="00461327">
      <w:pPr>
        <w:spacing w:after="0"/>
      </w:pPr>
      <w:r>
        <w:t>The ICA WG will determine how the ICA may inform and identify DER growth constraints and opportunities in the planning process; in which applications and how ICA may be used; and in what methodology (streamlined or iterative), levels of granularity and frequency of updates, may best serve the planning use case.</w:t>
      </w:r>
    </w:p>
    <w:p w14:paraId="1000F4A4" w14:textId="77777777" w:rsidR="00461327" w:rsidRDefault="00461327" w:rsidP="00461327">
      <w:pPr>
        <w:spacing w:after="0"/>
      </w:pPr>
    </w:p>
    <w:p w14:paraId="2472FD02" w14:textId="0CFE2D38" w:rsidR="008E7EC9" w:rsidRDefault="008E7EC9" w:rsidP="008E7EC9">
      <w:pPr>
        <w:pStyle w:val="Heading1"/>
      </w:pPr>
      <w:r>
        <w:t>Clarification of Multiple visions of “planning use case”</w:t>
      </w:r>
    </w:p>
    <w:p w14:paraId="6A60F830" w14:textId="77777777" w:rsidR="008E7EC9" w:rsidRDefault="008E7EC9" w:rsidP="008E7EC9">
      <w:r>
        <w:t>During the Working Group discussion, it became clear that stakeholders had different visions for the definition and purpose of “planning use case.”  Two distinct versions emerged from the discussion:</w:t>
      </w:r>
    </w:p>
    <w:p w14:paraId="251E27B3" w14:textId="4A89C8E3" w:rsidR="008E7EC9" w:rsidRDefault="008E7EC9" w:rsidP="008E7EC9">
      <w:r>
        <w:t>“</w:t>
      </w:r>
      <w:r w:rsidRPr="005E369B">
        <w:rPr>
          <w:b/>
        </w:rPr>
        <w:t>Distribution Capacity Planning Use Case</w:t>
      </w:r>
      <w:r w:rsidR="0022237C">
        <w:t>”:  This purpose of the</w:t>
      </w:r>
      <w:r>
        <w:t xml:space="preserve"> use case is to </w:t>
      </w:r>
      <w:r>
        <w:rPr>
          <w:i/>
        </w:rPr>
        <w:t>identify system needs expected to be created by future DER growth, for the purpose of preemptively addressing these needs.</w:t>
      </w:r>
      <w:r>
        <w:t xml:space="preserve">  This use case is envisioned to become an integral part of utility operations and feed in directly to the utility annual distribution planning process.  The outcome is exp</w:t>
      </w:r>
      <w:r w:rsidR="0022237C">
        <w:t xml:space="preserve">ected to be either </w:t>
      </w:r>
      <w:r>
        <w:t xml:space="preserve">IOU capital investment to meet the need, or sourcing of DERs to defer the conventional investment.  Thus, forecasts and other policy assumptions should be consistent with current commission policy for distribution planning and investment.  </w:t>
      </w:r>
      <w:r w:rsidRPr="008E7EC9">
        <w:rPr>
          <w:b/>
        </w:rPr>
        <w:t>T</w:t>
      </w:r>
      <w:r>
        <w:rPr>
          <w:b/>
        </w:rPr>
        <w:t>his</w:t>
      </w:r>
      <w:r w:rsidRPr="008E7EC9">
        <w:rPr>
          <w:b/>
        </w:rPr>
        <w:t xml:space="preserve"> IOU proposal contained in this write-up refers to this </w:t>
      </w:r>
      <w:r>
        <w:rPr>
          <w:b/>
        </w:rPr>
        <w:t>Distribution Capacity Planning Use Case</w:t>
      </w:r>
      <w:r>
        <w:t>.</w:t>
      </w:r>
    </w:p>
    <w:p w14:paraId="10E5C4D6" w14:textId="77777777" w:rsidR="008E7EC9" w:rsidRDefault="008E7EC9" w:rsidP="008E7EC9">
      <w:r>
        <w:t>“</w:t>
      </w:r>
      <w:r w:rsidRPr="005E369B">
        <w:rPr>
          <w:b/>
        </w:rPr>
        <w:t>Policy Scenario Analysis Use Case</w:t>
      </w:r>
      <w:r>
        <w:t xml:space="preserve">”:  This use case would involve alternative assumptions for growth scenarios, policies, tariffs, incentives, etc.  The outcomes of this use case would clearly </w:t>
      </w:r>
      <w:r>
        <w:rPr>
          <w:i/>
        </w:rPr>
        <w:t>not</w:t>
      </w:r>
      <w:r>
        <w:t xml:space="preserve"> feed into any </w:t>
      </w:r>
      <w:r>
        <w:lastRenderedPageBreak/>
        <w:t>utility operations, planning or investment activity.  Rather, the results of this use case would inform future policy discussions.  This use case has not yet been well defined.  The IOUs invite stakeholders to develop proposals for this use case.  Many questions that need to be addressed regarding what scenarios would be analyzed, how (and in what forums) the results would be used, and whether there would be incremental ratepayer cost to fund these analyses.  While this use case is not yet defined, the IOUs’ tools will be able to accommodate this use case: it is not a question of developing new tools to accommodate this use case; rather, the current need is simply to define the assumptions and use of this use case.</w:t>
      </w:r>
    </w:p>
    <w:p w14:paraId="59BD122B" w14:textId="77777777" w:rsidR="008E7EC9" w:rsidRPr="006F34B3" w:rsidRDefault="008E7EC9" w:rsidP="008E7EC9">
      <w:r>
        <w:t xml:space="preserve">These are two </w:t>
      </w:r>
      <w:r w:rsidRPr="00037FF8">
        <w:rPr>
          <w:i/>
        </w:rPr>
        <w:t>different</w:t>
      </w:r>
      <w:r>
        <w:t xml:space="preserve"> use cases.  Whether or not one refers to both use cases under the umbrella term of “planning,” it is critical to recognize the fundamental difference in these use cases: The former use case is envisioned to provide results that will be incorporated into actual IOU operational activities.  The latter case is envisioned to provide results that inform policy decisions, </w:t>
      </w:r>
      <w:r>
        <w:rPr>
          <w:i/>
        </w:rPr>
        <w:t xml:space="preserve">but will not directly be used in utility activities </w:t>
      </w:r>
      <w:r>
        <w:t>as the results are based on policies, forecasts, or other assumptions that have not yet been adopted. To avoid confusion, the IOUs therefore recommend that these two visions be considered separate and distinct use cases.  Furthermore, to avoid confusion, the IOUs recommend that the term “planning” use case refer only to use cases that will directly feed into distribution planning activities.</w:t>
      </w:r>
    </w:p>
    <w:p w14:paraId="7837C7F1" w14:textId="18B287D3" w:rsidR="008E7EC9" w:rsidRDefault="008E7EC9" w:rsidP="00461327">
      <w:pPr>
        <w:spacing w:after="0"/>
      </w:pPr>
    </w:p>
    <w:p w14:paraId="504596AF" w14:textId="77777777" w:rsidR="008E7EC9" w:rsidRDefault="008E7EC9" w:rsidP="00461327">
      <w:pPr>
        <w:spacing w:after="0"/>
      </w:pPr>
    </w:p>
    <w:p w14:paraId="3AAD5A41" w14:textId="1E4F81E7" w:rsidR="00041025" w:rsidRDefault="005E0904" w:rsidP="00461327">
      <w:pPr>
        <w:pStyle w:val="Heading1"/>
        <w:spacing w:before="0"/>
      </w:pPr>
      <w:r>
        <w:t xml:space="preserve">Technical </w:t>
      </w:r>
      <w:r w:rsidR="00041025">
        <w:t>Discussion</w:t>
      </w:r>
    </w:p>
    <w:p w14:paraId="55FC1D6B" w14:textId="09C180FF" w:rsidR="00CD3F1D" w:rsidRDefault="00CD3F1D" w:rsidP="00CD3F1D">
      <w:r>
        <w:t>It is important to acknowledge that ICA is intended to determine deficiencies in the grid to integrate DER, but not the solutions. ICA can be useful to help identify locations and timing of deficiencies, but further review and engineering is required to determine the solutions to mitigate. The hosting capacity upgrade would also have to be coordinated with the normal planning efforts to not duplicate any work already being proposed.</w:t>
      </w:r>
    </w:p>
    <w:p w14:paraId="669C4521" w14:textId="77777777" w:rsidR="00CD3F1D" w:rsidRPr="000430B0" w:rsidRDefault="00CD3F1D" w:rsidP="00CD3F1D">
      <w:pPr>
        <w:rPr>
          <w:b/>
        </w:rPr>
      </w:pPr>
      <w:r w:rsidRPr="000430B0">
        <w:rPr>
          <w:b/>
        </w:rPr>
        <w:t>Timing</w:t>
      </w:r>
    </w:p>
    <w:p w14:paraId="4F97B32C" w14:textId="1414EFCA" w:rsidR="00CD3F1D" w:rsidRDefault="00CD3F1D" w:rsidP="00CD3F1D">
      <w:r>
        <w:t>It is proposed that the IOUs perform in a similar cadence and timing that aligns with distribution planning efforts.  Analysis would be performed once a year after the load forecasting is complete and before final distribution analysis is performed. The analysis would be seen helpful to be done in a 1 to 5 year planning horizon. Anything past 5 years on the distribution circuits is not as precise unless you are looking are larger scale impacts at the substation.</w:t>
      </w:r>
    </w:p>
    <w:p w14:paraId="2F4DB034" w14:textId="3C426F0B" w:rsidR="00CD3F1D" w:rsidRPr="000430B0" w:rsidRDefault="00CD3F1D" w:rsidP="00CD3F1D">
      <w:pPr>
        <w:rPr>
          <w:b/>
        </w:rPr>
      </w:pPr>
      <w:r w:rsidRPr="000430B0">
        <w:rPr>
          <w:b/>
        </w:rPr>
        <w:t>Types of Resources Analyzed</w:t>
      </w:r>
    </w:p>
    <w:p w14:paraId="5BAAD322" w14:textId="49BE4D34" w:rsidR="00CD3F1D" w:rsidRDefault="00CD3F1D" w:rsidP="00CD3F1D">
      <w:r>
        <w:t>The California ICA working group and methodology has thus far been focused on the interconnection use case which isolates analysis to single interconnections.</w:t>
      </w:r>
      <w:r w:rsidR="000430B0">
        <w:t xml:space="preserve"> Th</w:t>
      </w:r>
      <w:r w:rsidR="00CD5620">
        <w:t xml:space="preserve">e analysis has reflected this </w:t>
      </w:r>
      <w:r w:rsidR="000430B0">
        <w:t>by only really considering the impacts of single DER placement on a circuit. In the planning context, it is important to understand the broader impact of multiple generators and what the combined aggregate effect would be</w:t>
      </w:r>
      <w:r w:rsidR="00CD5620">
        <w:t xml:space="preserve"> over a longer time frame</w:t>
      </w:r>
      <w:r w:rsidR="000430B0">
        <w:t>. As ICA progresses, it is important that the components of the tool be able to consider a dispersion of smaller DER throughout the circuit. EPRI’s tools have developed to be able to include analysis of this dispersion and the working group should research and explore the incorporation of these techniques in order to proper</w:t>
      </w:r>
      <w:r w:rsidR="00CD5620">
        <w:t>ly</w:t>
      </w:r>
      <w:r w:rsidR="000430B0">
        <w:t xml:space="preserve"> consider DER for the planning context.</w:t>
      </w:r>
    </w:p>
    <w:p w14:paraId="0AC7FC52" w14:textId="2F6A9D67" w:rsidR="000430B0" w:rsidRPr="00203B3B" w:rsidRDefault="000430B0" w:rsidP="00CD3F1D">
      <w:pPr>
        <w:rPr>
          <w:b/>
        </w:rPr>
      </w:pPr>
      <w:r w:rsidRPr="00203B3B">
        <w:rPr>
          <w:b/>
        </w:rPr>
        <w:t>Using the DER Growth in the Analysis</w:t>
      </w:r>
    </w:p>
    <w:p w14:paraId="478AB5BB" w14:textId="0A8736C0" w:rsidR="000430B0" w:rsidRDefault="000430B0" w:rsidP="00CD3F1D">
      <w:r>
        <w:lastRenderedPageBreak/>
        <w:t>One challenging fact is that the utilities can’t forecast growth to the nodal precision of the models with proper accuracy. Typically we will have growth factors granular down t</w:t>
      </w:r>
      <w:r w:rsidR="0084747E">
        <w:t>o the feeder at the max. The IOUs must then determine how feeder level growths are to be considered in a nodal level analysis. Two general ways of inclusion have been identified which are:</w:t>
      </w:r>
    </w:p>
    <w:p w14:paraId="788B13E5" w14:textId="7600B17C" w:rsidR="0084747E" w:rsidRDefault="0084747E" w:rsidP="0084747E">
      <w:pPr>
        <w:pStyle w:val="ListParagraph"/>
        <w:numPr>
          <w:ilvl w:val="0"/>
          <w:numId w:val="7"/>
        </w:numPr>
      </w:pPr>
      <w:r>
        <w:t>Pre-Analysis Modeling</w:t>
      </w:r>
    </w:p>
    <w:p w14:paraId="6A52652F" w14:textId="0157B3AE" w:rsidR="0084747E" w:rsidRDefault="0084747E" w:rsidP="0084747E">
      <w:pPr>
        <w:pStyle w:val="ListParagraph"/>
        <w:numPr>
          <w:ilvl w:val="0"/>
          <w:numId w:val="7"/>
        </w:numPr>
      </w:pPr>
      <w:r>
        <w:t>Post-Analysis Comparison</w:t>
      </w:r>
    </w:p>
    <w:p w14:paraId="0AA3A5A6" w14:textId="10C22DE0" w:rsidR="00203B3B" w:rsidRDefault="00203B3B" w:rsidP="00203B3B">
      <w:pPr>
        <w:pStyle w:val="ListParagraph"/>
        <w:numPr>
          <w:ilvl w:val="1"/>
          <w:numId w:val="7"/>
        </w:numPr>
      </w:pPr>
      <w:r>
        <w:t>Based on single DER ICA</w:t>
      </w:r>
    </w:p>
    <w:p w14:paraId="31C64892" w14:textId="2384B572" w:rsidR="00203B3B" w:rsidRDefault="00203B3B" w:rsidP="00203B3B">
      <w:pPr>
        <w:pStyle w:val="ListParagraph"/>
        <w:numPr>
          <w:ilvl w:val="1"/>
          <w:numId w:val="7"/>
        </w:numPr>
      </w:pPr>
      <w:r>
        <w:t>Based on dispersed DER ICA</w:t>
      </w:r>
    </w:p>
    <w:p w14:paraId="72A3649C" w14:textId="250EE348" w:rsidR="0084747E" w:rsidRDefault="0084747E" w:rsidP="0084747E">
      <w:r>
        <w:t>The first approach would take the expected growth and embed within the load allocation methods to distribute into the model. The dispersion would assume the same dispersion of load on the circuit.  While not as sophisticated, this approach seems reasonable to perform in the short term while more complex approaches are being explored.</w:t>
      </w:r>
    </w:p>
    <w:p w14:paraId="001174A7" w14:textId="4805B579" w:rsidR="00203B3B" w:rsidRDefault="00203B3B" w:rsidP="0084747E">
      <w:r>
        <w:t>The second approach would not change the input to the model to reflect the DER growth, but compare the DER growth to the calculated ICA.  For instance</w:t>
      </w:r>
      <w:r w:rsidR="00FA6AF0">
        <w:t>, if ICA is calculated to be 1MW and DER growth is 1.5MW than there would be a 0.5MW deficiency to be addressed. As mentioned earlier, it could be deceptive when performing this if comparing retail growth to single DER ICA. This is why there are two options under approach 2. The first would calculate based on single DER ICA and the second would calculate based on dispersed DER ICA. Ideally the tools would need to properly consider dispersed DER in the analysis, but this is not fully supported yet in the tools.</w:t>
      </w:r>
      <w:r w:rsidR="00CD5620">
        <w:t xml:space="preserve"> The other challenge to the post analysis approach is how to determine which forecasts to embed in the future time horizon and which to analyze post analysis.</w:t>
      </w:r>
    </w:p>
    <w:p w14:paraId="097CCB0F" w14:textId="094B1EF7" w:rsidR="002E0908" w:rsidRPr="005E0904" w:rsidRDefault="00FA6AF0" w:rsidP="005E0904">
      <w:r>
        <w:t>The IOU</w:t>
      </w:r>
      <w:r w:rsidR="00CD5620">
        <w:t>s will explore the different options and evaluate which one will be the best to implement moving forward.</w:t>
      </w:r>
    </w:p>
    <w:p w14:paraId="19361609" w14:textId="77777777" w:rsidR="00461327" w:rsidRDefault="00461327" w:rsidP="00461327">
      <w:pPr>
        <w:spacing w:after="0"/>
      </w:pPr>
    </w:p>
    <w:p w14:paraId="7FE8FD35" w14:textId="77777777" w:rsidR="00041025" w:rsidRDefault="00041025" w:rsidP="00461327">
      <w:pPr>
        <w:pStyle w:val="Heading1"/>
        <w:spacing w:before="0"/>
      </w:pPr>
      <w:r>
        <w:t>Conclusion and Next Steps</w:t>
      </w:r>
    </w:p>
    <w:p w14:paraId="2C078E63" w14:textId="6C400F60" w:rsidR="00C4565E" w:rsidRDefault="00CD3E97" w:rsidP="00CD3F1D">
      <w:pPr>
        <w:pStyle w:val="ListParagraph"/>
        <w:numPr>
          <w:ilvl w:val="0"/>
          <w:numId w:val="6"/>
        </w:numPr>
        <w:spacing w:after="0"/>
      </w:pPr>
      <w:r>
        <w:t>Determine the definition of the “Planning” use case and if we need to define a new use case</w:t>
      </w:r>
    </w:p>
    <w:p w14:paraId="59A0BA53" w14:textId="74EC4DFB" w:rsidR="00CD3E97" w:rsidRDefault="00CD3E97" w:rsidP="00CD3F1D">
      <w:pPr>
        <w:pStyle w:val="ListParagraph"/>
        <w:numPr>
          <w:ilvl w:val="0"/>
          <w:numId w:val="6"/>
        </w:numPr>
        <w:spacing w:after="0"/>
      </w:pPr>
      <w:r>
        <w:t>Determine DER forecasts to include to use in the Distribution Capacity Planning use case.</w:t>
      </w:r>
      <w:bookmarkStart w:id="0" w:name="_GoBack"/>
      <w:bookmarkEnd w:id="0"/>
    </w:p>
    <w:p w14:paraId="50BC8B7D" w14:textId="3F8E8568" w:rsidR="00CD3E97" w:rsidRDefault="00CD3E97" w:rsidP="00CD3F1D">
      <w:pPr>
        <w:pStyle w:val="ListParagraph"/>
        <w:numPr>
          <w:ilvl w:val="0"/>
          <w:numId w:val="6"/>
        </w:numPr>
        <w:spacing w:after="0"/>
      </w:pPr>
      <w:r>
        <w:t xml:space="preserve">IOUs to evaluate best option of implementation of incorporating growth scenarios as well as the best long term </w:t>
      </w:r>
    </w:p>
    <w:sectPr w:rsidR="00CD3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0F3"/>
    <w:multiLevelType w:val="hybridMultilevel"/>
    <w:tmpl w:val="17AC92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192634"/>
    <w:multiLevelType w:val="hybridMultilevel"/>
    <w:tmpl w:val="A0789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65E"/>
    <w:rsid w:val="00041025"/>
    <w:rsid w:val="000430B0"/>
    <w:rsid w:val="00063BE7"/>
    <w:rsid w:val="00067038"/>
    <w:rsid w:val="00186AC6"/>
    <w:rsid w:val="001C47F4"/>
    <w:rsid w:val="00203B3B"/>
    <w:rsid w:val="0022237C"/>
    <w:rsid w:val="002E0908"/>
    <w:rsid w:val="002F7A19"/>
    <w:rsid w:val="00352005"/>
    <w:rsid w:val="00461327"/>
    <w:rsid w:val="0049448A"/>
    <w:rsid w:val="0051754A"/>
    <w:rsid w:val="00580C2A"/>
    <w:rsid w:val="005D02F4"/>
    <w:rsid w:val="005E0904"/>
    <w:rsid w:val="0060192D"/>
    <w:rsid w:val="00640E48"/>
    <w:rsid w:val="007E326F"/>
    <w:rsid w:val="0084747E"/>
    <w:rsid w:val="0085645D"/>
    <w:rsid w:val="008C12AE"/>
    <w:rsid w:val="008E7EC9"/>
    <w:rsid w:val="00A87AE1"/>
    <w:rsid w:val="00AA7F82"/>
    <w:rsid w:val="00BA3D3E"/>
    <w:rsid w:val="00BC585A"/>
    <w:rsid w:val="00C4565E"/>
    <w:rsid w:val="00CD3E97"/>
    <w:rsid w:val="00CD3F1D"/>
    <w:rsid w:val="00CD5620"/>
    <w:rsid w:val="00DE06AE"/>
    <w:rsid w:val="00E260C2"/>
    <w:rsid w:val="00F31EFA"/>
    <w:rsid w:val="00FA6AF0"/>
    <w:rsid w:val="00FE6883"/>
    <w:rsid w:val="2D926EEB"/>
    <w:rsid w:val="3834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B4B40-69B5-4C55-A941-FFA32897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Russell</dc:creator>
  <cp:keywords/>
  <dc:description/>
  <cp:lastModifiedBy>Tom Russell</cp:lastModifiedBy>
  <cp:revision>25</cp:revision>
  <dcterms:created xsi:type="dcterms:W3CDTF">2017-07-17T21:28:00Z</dcterms:created>
  <dcterms:modified xsi:type="dcterms:W3CDTF">2017-08-18T00:41:00Z</dcterms:modified>
</cp:coreProperties>
</file>