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BE3ECE" w14:textId="2A0DA022" w:rsidR="00041025" w:rsidRPr="006B3453" w:rsidRDefault="00BA3D3E" w:rsidP="00461327">
      <w:pPr>
        <w:pStyle w:val="Title"/>
        <w:rPr>
          <w:sz w:val="48"/>
          <w:szCs w:val="48"/>
        </w:rPr>
      </w:pPr>
      <w:r>
        <w:rPr>
          <w:sz w:val="48"/>
          <w:szCs w:val="48"/>
        </w:rPr>
        <w:t>Item</w:t>
      </w:r>
      <w:r w:rsidR="00041025" w:rsidRPr="2D926EEB">
        <w:rPr>
          <w:sz w:val="48"/>
          <w:szCs w:val="48"/>
        </w:rPr>
        <w:t xml:space="preserve"> </w:t>
      </w:r>
      <w:r w:rsidR="0049448A">
        <w:rPr>
          <w:sz w:val="48"/>
          <w:szCs w:val="48"/>
        </w:rPr>
        <w:t>1</w:t>
      </w:r>
      <w:r w:rsidR="00041025" w:rsidRPr="2D926EEB">
        <w:rPr>
          <w:sz w:val="48"/>
          <w:szCs w:val="48"/>
        </w:rPr>
        <w:t xml:space="preserve">: </w:t>
      </w:r>
      <w:r w:rsidR="0049448A">
        <w:rPr>
          <w:sz w:val="48"/>
          <w:szCs w:val="48"/>
        </w:rPr>
        <w:t>Planning Use Case</w:t>
      </w:r>
    </w:p>
    <w:p w14:paraId="427C4C76" w14:textId="7965EE29" w:rsidR="00041025" w:rsidRDefault="00041025" w:rsidP="00461327">
      <w:pPr>
        <w:pStyle w:val="Subtitle"/>
        <w:spacing w:after="0"/>
      </w:pPr>
      <w:r>
        <w:t xml:space="preserve">Joint IOUs’ </w:t>
      </w:r>
      <w:r w:rsidR="006C263D">
        <w:t>Response to Stakeholder Proposal</w:t>
      </w:r>
      <w:r>
        <w:t xml:space="preserve"> </w:t>
      </w:r>
    </w:p>
    <w:p w14:paraId="2A569797" w14:textId="4F713E6E" w:rsidR="00041025" w:rsidRDefault="00041025" w:rsidP="00461327">
      <w:pPr>
        <w:pStyle w:val="Subtitle"/>
        <w:spacing w:after="0"/>
      </w:pPr>
      <w:r>
        <w:t>ICA Working Group</w:t>
      </w:r>
    </w:p>
    <w:p w14:paraId="79FD7863" w14:textId="77777777" w:rsidR="00461327" w:rsidRDefault="00461327" w:rsidP="00461327">
      <w:pPr>
        <w:spacing w:after="0"/>
      </w:pPr>
    </w:p>
    <w:p w14:paraId="2472FD02" w14:textId="2C9F3F7A" w:rsidR="008E7EC9" w:rsidRDefault="006C263D" w:rsidP="008E7EC9">
      <w:pPr>
        <w:pStyle w:val="Heading1"/>
      </w:pPr>
      <w:r>
        <w:t>Policy Analysis Should be Out of Scope</w:t>
      </w:r>
    </w:p>
    <w:p w14:paraId="290FDB74" w14:textId="0F37D089" w:rsidR="006C263D" w:rsidRPr="006C263D" w:rsidRDefault="1A2D571F" w:rsidP="006C263D">
      <w:r>
        <w:t>Upon reviewing the “Draft Non-IOU Proposal for the Planning Use Case”, the Joint IOUs’ agree with including proposed use case scenarios 1 through 5. These 5 scenarios seem to have relevance to how ICA can help inform investments made in the GRC. The Joint IOUs believe that use-case scenario 6, “the analysis of impacts and implications of potential policy interventions, including, but not limited to, incentives, rate changes, and tariffs” does not share the same unifying quality with use-cases 1 through 5 since the outputs of use case 6 are meant to inform stakeholders on potential policy impacts to hosting capacity rather than informing where investments are needed in the nearest planning cycle.</w:t>
      </w:r>
      <w:r w:rsidR="002C5344">
        <w:t xml:space="preserve"> </w:t>
      </w:r>
      <w:r w:rsidR="00ED7FAE">
        <w:t xml:space="preserve">Informing new tariffs and programs does not belong within the ICA scope and is a broader discussion outside of the scope of the ICA Long Term Refinements Working Group. The recent Track 1 </w:t>
      </w:r>
      <w:r w:rsidR="00AF782B">
        <w:t>D</w:t>
      </w:r>
      <w:r w:rsidR="00ED7FAE">
        <w:t>ecision on the ICA and LNBA short term issues references proposals on informing tariffs and programs using DERAC</w:t>
      </w:r>
      <w:r w:rsidR="00AC62D9">
        <w:rPr>
          <w:rStyle w:val="FootnoteReference"/>
        </w:rPr>
        <w:footnoteReference w:id="1"/>
      </w:r>
      <w:r w:rsidR="00ED7FAE">
        <w:t xml:space="preserve">. </w:t>
      </w:r>
      <w:r w:rsidR="00AF782B">
        <w:t>T</w:t>
      </w:r>
      <w:r w:rsidR="00ED7FAE">
        <w:t>he discussion on informing policy should remain in subse</w:t>
      </w:r>
      <w:r w:rsidR="00153AE8">
        <w:t>quent</w:t>
      </w:r>
      <w:r w:rsidR="00ED7FAE">
        <w:t xml:space="preserve"> CPUC</w:t>
      </w:r>
      <w:r w:rsidR="00153AE8">
        <w:t xml:space="preserve"> stakeholder engagement and</w:t>
      </w:r>
      <w:r w:rsidR="00ED7FAE">
        <w:t xml:space="preserve"> workshops as referenced in the proposed decision. </w:t>
      </w:r>
    </w:p>
    <w:p w14:paraId="73395EE5" w14:textId="19403C2D" w:rsidR="006C263D" w:rsidRDefault="006C263D" w:rsidP="006C263D">
      <w:r w:rsidRPr="006C263D">
        <w:t>As part of the Short Term working group discussions, the working group</w:t>
      </w:r>
      <w:r>
        <w:t xml:space="preserve"> was tasked with coming up with and defining use cases for ICA.  In those discussions only two use cases were identified where were (1) streamlining interconnection and (2) using for planned investments for hosting capacity needs. There was general consensus on these and no identification of a policy impact use case.</w:t>
      </w:r>
      <w:r>
        <w:rPr>
          <w:rStyle w:val="FootnoteReference"/>
        </w:rPr>
        <w:footnoteReference w:id="2"/>
      </w:r>
    </w:p>
    <w:p w14:paraId="0DBC7D70" w14:textId="6B99AE5F" w:rsidR="006C263D" w:rsidRDefault="006C263D" w:rsidP="006C263D">
      <w:r>
        <w:t>Also as part of the short term final report, a consensus on planning use case was</w:t>
      </w:r>
      <w:r w:rsidRPr="006C263D">
        <w:t xml:space="preserve"> already</w:t>
      </w:r>
      <w:r>
        <w:t xml:space="preserve"> made</w:t>
      </w:r>
      <w:r w:rsidRPr="006C263D">
        <w:t>.</w:t>
      </w:r>
      <w:r w:rsidR="00E06550">
        <w:t xml:space="preserve">  The consensus for the planning use case was as followed:</w:t>
      </w:r>
    </w:p>
    <w:p w14:paraId="30356E5C" w14:textId="754DD0CE" w:rsidR="00E06550" w:rsidRDefault="00E06550" w:rsidP="00E06550">
      <w:pPr>
        <w:ind w:left="720"/>
        <w:rPr>
          <w:i/>
        </w:rPr>
      </w:pPr>
      <w:r>
        <w:rPr>
          <w:i/>
        </w:rPr>
        <w:t>“</w:t>
      </w:r>
      <w:r w:rsidRPr="00E06550">
        <w:rPr>
          <w:i/>
        </w:rPr>
        <w:t>Inform and identify DER growth constraints in the planning process. In the planning use case, the ICA information may be used as an input into system planning processes to identify when and where capacity upgrades are needed on the distribution system as a result of various DER growth scenarios.</w:t>
      </w:r>
      <w:r>
        <w:rPr>
          <w:i/>
        </w:rPr>
        <w:t>”</w:t>
      </w:r>
      <w:r>
        <w:rPr>
          <w:rStyle w:val="FootnoteReference"/>
          <w:i/>
        </w:rPr>
        <w:footnoteReference w:id="3"/>
      </w:r>
    </w:p>
    <w:p w14:paraId="3A51D9A1" w14:textId="3028E90E" w:rsidR="00E06550" w:rsidRDefault="00E06550" w:rsidP="00E06550">
      <w:r w:rsidRPr="006C263D">
        <w:t>Referring back to the Proposed Decision filed o</w:t>
      </w:r>
      <w:r>
        <w:t>n August 25th, 2017 on page 26:</w:t>
      </w:r>
    </w:p>
    <w:p w14:paraId="6794EECA" w14:textId="7116CA74" w:rsidR="00E06550" w:rsidRDefault="00E06550" w:rsidP="00E06550">
      <w:pPr>
        <w:ind w:left="720"/>
      </w:pPr>
      <w:r w:rsidRPr="00E06550">
        <w:rPr>
          <w:i/>
        </w:rPr>
        <w:t xml:space="preserve">“We agree that there is a role that ICA should play in the distribution planning process. ICA results may be used to identify grid locations facing hosting capacity constraints in light of DER growth scenarios that would be candidates for grid upgrades to accommodate projected DER growth.” </w:t>
      </w:r>
    </w:p>
    <w:p w14:paraId="52BC6494" w14:textId="3788E6AA" w:rsidR="009905D4" w:rsidRDefault="00E06550" w:rsidP="00E06550">
      <w:r w:rsidRPr="006C263D">
        <w:t xml:space="preserve">This statement aligns well with use cases 1 through 5 since their outputs can readily be used to inform the distribution planning process where the end goal is to propose distribution infrastructure </w:t>
      </w:r>
      <w:r w:rsidRPr="006C263D">
        <w:lastRenderedPageBreak/>
        <w:t>investments, grid modernization investments, or DER sourcing solutions to relieve forecasted hosting capacity constraints.</w:t>
      </w:r>
    </w:p>
    <w:p w14:paraId="206B54CA" w14:textId="4E0F3C66" w:rsidR="009905D4" w:rsidRPr="00E06550" w:rsidRDefault="009905D4" w:rsidP="009905D4">
      <w:pPr>
        <w:pStyle w:val="Heading1"/>
      </w:pPr>
      <w:r>
        <w:t xml:space="preserve">Wholesale </w:t>
      </w:r>
      <w:r w:rsidR="00AF782B">
        <w:t>Forecasts are too Uncertain to I</w:t>
      </w:r>
      <w:r>
        <w:t>nclude in ICA</w:t>
      </w:r>
    </w:p>
    <w:p w14:paraId="1324DC40" w14:textId="4DDE1631" w:rsidR="006C263D" w:rsidRPr="006C263D" w:rsidRDefault="1A2D571F" w:rsidP="006C263D">
      <w:r>
        <w:t xml:space="preserve">With respect to the non-IOU parties feeling it is not appropriate to limit the Planning Use Case to only considering upgrades for DERs where upgrades are socialized, the IOUs’ hold the position that the primary obstacle with any other form of cost responsibility allocation method based on forecasts is that there is not a good degree of confidence in forecasting methods for DERs participating in Wholesale and Rule 21 Export like there is for NEM. Therefore, this is not an issue of tool capabilities but rather forecast capabilities. Also, even if a high confidence forecast for these other DER programs did </w:t>
      </w:r>
      <w:bookmarkStart w:id="0" w:name="_GoBack"/>
      <w:bookmarkEnd w:id="0"/>
      <w:r>
        <w:t>exist, then development of cost sharing rules would not be part of ICA but rather part of the Rule 21 interconnection proceeding.</w:t>
      </w:r>
    </w:p>
    <w:p w14:paraId="50BC8B7D" w14:textId="70779B2C" w:rsidR="00CD3E97" w:rsidRDefault="00CD3E97" w:rsidP="009905D4">
      <w:pPr>
        <w:pStyle w:val="ListParagraph"/>
        <w:spacing w:after="0"/>
      </w:pPr>
      <w:r>
        <w:t xml:space="preserve"> </w:t>
      </w:r>
    </w:p>
    <w:sectPr w:rsidR="00CD3E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5A80FE" w14:textId="77777777" w:rsidR="00B740AD" w:rsidRDefault="00B740AD" w:rsidP="006C263D">
      <w:pPr>
        <w:spacing w:after="0" w:line="240" w:lineRule="auto"/>
      </w:pPr>
      <w:r>
        <w:separator/>
      </w:r>
    </w:p>
  </w:endnote>
  <w:endnote w:type="continuationSeparator" w:id="0">
    <w:p w14:paraId="293A0A79" w14:textId="77777777" w:rsidR="00B740AD" w:rsidRDefault="00B740AD" w:rsidP="006C2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618A15" w14:textId="77777777" w:rsidR="00B740AD" w:rsidRDefault="00B740AD" w:rsidP="006C263D">
      <w:pPr>
        <w:spacing w:after="0" w:line="240" w:lineRule="auto"/>
      </w:pPr>
      <w:r>
        <w:separator/>
      </w:r>
    </w:p>
  </w:footnote>
  <w:footnote w:type="continuationSeparator" w:id="0">
    <w:p w14:paraId="65AF62B1" w14:textId="77777777" w:rsidR="00B740AD" w:rsidRDefault="00B740AD" w:rsidP="006C263D">
      <w:pPr>
        <w:spacing w:after="0" w:line="240" w:lineRule="auto"/>
      </w:pPr>
      <w:r>
        <w:continuationSeparator/>
      </w:r>
    </w:p>
  </w:footnote>
  <w:footnote w:id="1">
    <w:p w14:paraId="7E05D355" w14:textId="1AC9B8B6" w:rsidR="00AC62D9" w:rsidRDefault="00AC62D9">
      <w:pPr>
        <w:pStyle w:val="FootnoteText"/>
      </w:pPr>
      <w:r>
        <w:rPr>
          <w:rStyle w:val="FootnoteReference"/>
        </w:rPr>
        <w:footnoteRef/>
      </w:r>
      <w:r>
        <w:t xml:space="preserve"> </w:t>
      </w:r>
      <w:r w:rsidRPr="00AC62D9">
        <w:t>Decision on Track 1 Demonstration Projects A (integration Capacity Analysis) and B (Locational Net Benefits Analysis), Proposed</w:t>
      </w:r>
      <w:r>
        <w:t xml:space="preserve"> Decision Rev 1,  9/28/2017 </w:t>
      </w:r>
    </w:p>
  </w:footnote>
  <w:footnote w:id="2">
    <w:p w14:paraId="50514C35" w14:textId="7CD872E8" w:rsidR="006C263D" w:rsidRDefault="006C263D">
      <w:pPr>
        <w:pStyle w:val="FootnoteText"/>
      </w:pPr>
      <w:r>
        <w:rPr>
          <w:rStyle w:val="FootnoteReference"/>
        </w:rPr>
        <w:footnoteRef/>
      </w:r>
      <w:r>
        <w:t xml:space="preserve"> </w:t>
      </w:r>
      <w:hyperlink r:id="rId1" w:history="1">
        <w:r w:rsidRPr="00222496">
          <w:rPr>
            <w:rStyle w:val="Hyperlink"/>
          </w:rPr>
          <w:t>http://drpwg.org/wp-content/uploads/2016/08/Discussion-of-Stakeholder-Comments-7.25-ICA_draft.docx</w:t>
        </w:r>
      </w:hyperlink>
      <w:r>
        <w:t xml:space="preserve"> Page 5</w:t>
      </w:r>
    </w:p>
  </w:footnote>
  <w:footnote w:id="3">
    <w:p w14:paraId="455061C7" w14:textId="54E96F16" w:rsidR="00E06550" w:rsidRDefault="00E06550">
      <w:pPr>
        <w:pStyle w:val="FootnoteText"/>
      </w:pPr>
      <w:r>
        <w:rPr>
          <w:rStyle w:val="FootnoteReference"/>
        </w:rPr>
        <w:footnoteRef/>
      </w:r>
      <w:r>
        <w:t xml:space="preserve"> </w:t>
      </w:r>
      <w:hyperlink r:id="rId2" w:history="1">
        <w:r w:rsidRPr="00222496">
          <w:rPr>
            <w:rStyle w:val="Hyperlink"/>
          </w:rPr>
          <w:t>http://drpwg.org/wp-content/uploads/2016/07/ICA-WG-Final-Report.pdf</w:t>
        </w:r>
      </w:hyperlink>
      <w:r>
        <w:t xml:space="preserve"> Page 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C00F3"/>
    <w:multiLevelType w:val="hybridMultilevel"/>
    <w:tmpl w:val="17AC92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AB5B00"/>
    <w:multiLevelType w:val="hybridMultilevel"/>
    <w:tmpl w:val="CE80B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906563"/>
    <w:multiLevelType w:val="multilevel"/>
    <w:tmpl w:val="CA1075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192634"/>
    <w:multiLevelType w:val="hybridMultilevel"/>
    <w:tmpl w:val="A0789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65E"/>
    <w:rsid w:val="00041025"/>
    <w:rsid w:val="000430B0"/>
    <w:rsid w:val="00063BE7"/>
    <w:rsid w:val="00067038"/>
    <w:rsid w:val="00153AE8"/>
    <w:rsid w:val="00186AC6"/>
    <w:rsid w:val="001C47F4"/>
    <w:rsid w:val="00203B3B"/>
    <w:rsid w:val="0022237C"/>
    <w:rsid w:val="002C5344"/>
    <w:rsid w:val="002E0908"/>
    <w:rsid w:val="002F7A19"/>
    <w:rsid w:val="00352005"/>
    <w:rsid w:val="003B467E"/>
    <w:rsid w:val="00461327"/>
    <w:rsid w:val="0049448A"/>
    <w:rsid w:val="0051754A"/>
    <w:rsid w:val="00580C2A"/>
    <w:rsid w:val="005D02F4"/>
    <w:rsid w:val="005E0904"/>
    <w:rsid w:val="0060192D"/>
    <w:rsid w:val="00640E48"/>
    <w:rsid w:val="006C263D"/>
    <w:rsid w:val="007E326F"/>
    <w:rsid w:val="0084747E"/>
    <w:rsid w:val="0085645D"/>
    <w:rsid w:val="008C12AE"/>
    <w:rsid w:val="008E7EC9"/>
    <w:rsid w:val="009905D4"/>
    <w:rsid w:val="00A87AE1"/>
    <w:rsid w:val="00AA7F82"/>
    <w:rsid w:val="00AC62D9"/>
    <w:rsid w:val="00AF782B"/>
    <w:rsid w:val="00B740AD"/>
    <w:rsid w:val="00BA3D3E"/>
    <w:rsid w:val="00BC585A"/>
    <w:rsid w:val="00C4565E"/>
    <w:rsid w:val="00CD3E97"/>
    <w:rsid w:val="00CD3F1D"/>
    <w:rsid w:val="00CD5620"/>
    <w:rsid w:val="00DE06AE"/>
    <w:rsid w:val="00E06550"/>
    <w:rsid w:val="00E260C2"/>
    <w:rsid w:val="00E414A4"/>
    <w:rsid w:val="00ED7FAE"/>
    <w:rsid w:val="00F31EFA"/>
    <w:rsid w:val="00FA6AF0"/>
    <w:rsid w:val="00FE6883"/>
    <w:rsid w:val="1A2D571F"/>
    <w:rsid w:val="2D926EEB"/>
    <w:rsid w:val="38347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docId w15:val="{FFD93D91-C8C8-4C36-B268-740391223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10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1025"/>
    <w:pPr>
      <w:ind w:left="720"/>
      <w:contextualSpacing/>
    </w:pPr>
  </w:style>
  <w:style w:type="paragraph" w:styleId="Title">
    <w:name w:val="Title"/>
    <w:basedOn w:val="Normal"/>
    <w:next w:val="Normal"/>
    <w:link w:val="TitleChar"/>
    <w:uiPriority w:val="10"/>
    <w:qFormat/>
    <w:rsid w:val="00041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102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41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025"/>
    <w:rPr>
      <w:rFonts w:ascii="Tahoma" w:hAnsi="Tahoma" w:cs="Tahoma"/>
      <w:sz w:val="16"/>
      <w:szCs w:val="16"/>
    </w:rPr>
  </w:style>
  <w:style w:type="character" w:styleId="CommentReference">
    <w:name w:val="annotation reference"/>
    <w:basedOn w:val="DefaultParagraphFont"/>
    <w:uiPriority w:val="99"/>
    <w:semiHidden/>
    <w:unhideWhenUsed/>
    <w:rsid w:val="00BC585A"/>
    <w:rPr>
      <w:sz w:val="16"/>
      <w:szCs w:val="16"/>
    </w:rPr>
  </w:style>
  <w:style w:type="paragraph" w:styleId="CommentText">
    <w:name w:val="annotation text"/>
    <w:basedOn w:val="Normal"/>
    <w:link w:val="CommentTextChar"/>
    <w:uiPriority w:val="99"/>
    <w:semiHidden/>
    <w:unhideWhenUsed/>
    <w:rsid w:val="00BC585A"/>
    <w:pPr>
      <w:spacing w:line="240" w:lineRule="auto"/>
    </w:pPr>
    <w:rPr>
      <w:sz w:val="20"/>
      <w:szCs w:val="20"/>
    </w:rPr>
  </w:style>
  <w:style w:type="character" w:customStyle="1" w:styleId="CommentTextChar">
    <w:name w:val="Comment Text Char"/>
    <w:basedOn w:val="DefaultParagraphFont"/>
    <w:link w:val="CommentText"/>
    <w:uiPriority w:val="99"/>
    <w:semiHidden/>
    <w:rsid w:val="00BC585A"/>
    <w:rPr>
      <w:sz w:val="20"/>
      <w:szCs w:val="20"/>
    </w:rPr>
  </w:style>
  <w:style w:type="paragraph" w:styleId="CommentSubject">
    <w:name w:val="annotation subject"/>
    <w:basedOn w:val="CommentText"/>
    <w:next w:val="CommentText"/>
    <w:link w:val="CommentSubjectChar"/>
    <w:uiPriority w:val="99"/>
    <w:semiHidden/>
    <w:unhideWhenUsed/>
    <w:rsid w:val="00BC585A"/>
    <w:rPr>
      <w:b/>
      <w:bCs/>
    </w:rPr>
  </w:style>
  <w:style w:type="character" w:customStyle="1" w:styleId="CommentSubjectChar">
    <w:name w:val="Comment Subject Char"/>
    <w:basedOn w:val="CommentTextChar"/>
    <w:link w:val="CommentSubject"/>
    <w:uiPriority w:val="99"/>
    <w:semiHidden/>
    <w:rsid w:val="00BC585A"/>
    <w:rPr>
      <w:b/>
      <w:bCs/>
      <w:sz w:val="20"/>
      <w:szCs w:val="20"/>
    </w:rPr>
  </w:style>
  <w:style w:type="paragraph" w:styleId="FootnoteText">
    <w:name w:val="footnote text"/>
    <w:basedOn w:val="Normal"/>
    <w:link w:val="FootnoteTextChar"/>
    <w:uiPriority w:val="99"/>
    <w:semiHidden/>
    <w:unhideWhenUsed/>
    <w:rsid w:val="006C26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263D"/>
    <w:rPr>
      <w:sz w:val="20"/>
      <w:szCs w:val="20"/>
    </w:rPr>
  </w:style>
  <w:style w:type="character" w:styleId="FootnoteReference">
    <w:name w:val="footnote reference"/>
    <w:basedOn w:val="DefaultParagraphFont"/>
    <w:uiPriority w:val="99"/>
    <w:semiHidden/>
    <w:unhideWhenUsed/>
    <w:rsid w:val="006C263D"/>
    <w:rPr>
      <w:vertAlign w:val="superscript"/>
    </w:rPr>
  </w:style>
  <w:style w:type="character" w:styleId="Hyperlink">
    <w:name w:val="Hyperlink"/>
    <w:basedOn w:val="DefaultParagraphFont"/>
    <w:uiPriority w:val="99"/>
    <w:unhideWhenUsed/>
    <w:rsid w:val="006C26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273268">
      <w:bodyDiv w:val="1"/>
      <w:marLeft w:val="0"/>
      <w:marRight w:val="0"/>
      <w:marTop w:val="0"/>
      <w:marBottom w:val="0"/>
      <w:divBdr>
        <w:top w:val="none" w:sz="0" w:space="0" w:color="auto"/>
        <w:left w:val="none" w:sz="0" w:space="0" w:color="auto"/>
        <w:bottom w:val="none" w:sz="0" w:space="0" w:color="auto"/>
        <w:right w:val="none" w:sz="0" w:space="0" w:color="auto"/>
      </w:divBdr>
    </w:div>
    <w:div w:id="465197266">
      <w:bodyDiv w:val="1"/>
      <w:marLeft w:val="0"/>
      <w:marRight w:val="0"/>
      <w:marTop w:val="0"/>
      <w:marBottom w:val="0"/>
      <w:divBdr>
        <w:top w:val="none" w:sz="0" w:space="0" w:color="auto"/>
        <w:left w:val="none" w:sz="0" w:space="0" w:color="auto"/>
        <w:bottom w:val="none" w:sz="0" w:space="0" w:color="auto"/>
        <w:right w:val="none" w:sz="0" w:space="0" w:color="auto"/>
      </w:divBdr>
    </w:div>
    <w:div w:id="1692604815">
      <w:bodyDiv w:val="1"/>
      <w:marLeft w:val="0"/>
      <w:marRight w:val="0"/>
      <w:marTop w:val="0"/>
      <w:marBottom w:val="0"/>
      <w:divBdr>
        <w:top w:val="none" w:sz="0" w:space="0" w:color="auto"/>
        <w:left w:val="none" w:sz="0" w:space="0" w:color="auto"/>
        <w:bottom w:val="none" w:sz="0" w:space="0" w:color="auto"/>
        <w:right w:val="none" w:sz="0" w:space="0" w:color="auto"/>
      </w:divBdr>
    </w:div>
    <w:div w:id="182400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drpwg.org/wp-content/uploads/2016/07/ICA-WG-Final-Report.pdf" TargetMode="External"/><Relationship Id="rId1" Type="http://schemas.openxmlformats.org/officeDocument/2006/relationships/hyperlink" Target="http://drpwg.org/wp-content/uploads/2016/08/Discussion-of-Stakeholder-Comments-7.25-ICA_draf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11EE3-F033-4D89-93AE-27BE7E8F5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607</Words>
  <Characters>3014</Characters>
  <Application>Microsoft Office Word</Application>
  <DocSecurity>0</DocSecurity>
  <Lines>231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Russell</dc:creator>
  <cp:keywords/>
  <dc:description/>
  <cp:lastModifiedBy>David Castle</cp:lastModifiedBy>
  <cp:revision>34</cp:revision>
  <dcterms:created xsi:type="dcterms:W3CDTF">2017-07-17T21:28:00Z</dcterms:created>
  <dcterms:modified xsi:type="dcterms:W3CDTF">2017-09-29T20:55:00Z</dcterms:modified>
</cp:coreProperties>
</file>