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BE3ECE" w14:textId="1315E8C5" w:rsidR="00041025" w:rsidRPr="00C853C3" w:rsidRDefault="00BA3D3E" w:rsidP="00461327">
      <w:pPr>
        <w:pStyle w:val="Title"/>
        <w:rPr>
          <w:sz w:val="48"/>
          <w:szCs w:val="48"/>
        </w:rPr>
      </w:pPr>
      <w:r w:rsidRPr="00C853C3">
        <w:rPr>
          <w:sz w:val="48"/>
          <w:szCs w:val="48"/>
        </w:rPr>
        <w:t>Item</w:t>
      </w:r>
      <w:r w:rsidR="00041025" w:rsidRPr="00C853C3">
        <w:rPr>
          <w:sz w:val="48"/>
          <w:szCs w:val="48"/>
        </w:rPr>
        <w:t xml:space="preserve"> </w:t>
      </w:r>
      <w:r w:rsidR="0049448A" w:rsidRPr="00C853C3">
        <w:rPr>
          <w:sz w:val="48"/>
          <w:szCs w:val="48"/>
        </w:rPr>
        <w:t>1</w:t>
      </w:r>
      <w:r w:rsidR="00041025" w:rsidRPr="00C853C3">
        <w:rPr>
          <w:sz w:val="48"/>
          <w:szCs w:val="48"/>
        </w:rPr>
        <w:t xml:space="preserve">: </w:t>
      </w:r>
      <w:r w:rsidR="0049448A" w:rsidRPr="00C853C3">
        <w:rPr>
          <w:sz w:val="48"/>
          <w:szCs w:val="48"/>
        </w:rPr>
        <w:t>Planning Use Case</w:t>
      </w:r>
    </w:p>
    <w:p w14:paraId="427C4C76" w14:textId="28D55172" w:rsidR="00041025" w:rsidRPr="00C853C3" w:rsidRDefault="00963FCC" w:rsidP="00461327">
      <w:pPr>
        <w:pStyle w:val="Subtitle"/>
        <w:spacing w:after="0"/>
      </w:pPr>
      <w:r w:rsidRPr="00C853C3">
        <w:t>Draft Non-IOU Proposal</w:t>
      </w:r>
    </w:p>
    <w:p w14:paraId="0ABEE060" w14:textId="4A8F8B62" w:rsidR="00461327" w:rsidRDefault="00041025" w:rsidP="00E7266E">
      <w:pPr>
        <w:pStyle w:val="Subtitle"/>
        <w:spacing w:after="0"/>
      </w:pPr>
      <w:r w:rsidRPr="00C853C3">
        <w:t>ICA Working Group</w:t>
      </w:r>
    </w:p>
    <w:p w14:paraId="7FE302D1" w14:textId="77777777" w:rsidR="00E7266E" w:rsidRPr="00E7266E" w:rsidRDefault="00E7266E" w:rsidP="00E7266E"/>
    <w:p w14:paraId="4AD62F13" w14:textId="15D8D268" w:rsidR="00BD5843" w:rsidRPr="00BD5843" w:rsidRDefault="00041025" w:rsidP="00BD5843">
      <w:pPr>
        <w:pStyle w:val="Heading1"/>
        <w:spacing w:before="0"/>
      </w:pPr>
      <w:r w:rsidRPr="00C853C3">
        <w:t>Summary</w:t>
      </w:r>
      <w:r w:rsidR="00622DD9" w:rsidRPr="00C853C3">
        <w:t xml:space="preserve"> and Next Steps</w:t>
      </w:r>
    </w:p>
    <w:p w14:paraId="0D88289E" w14:textId="2601BDC8" w:rsidR="00E56585" w:rsidRPr="00C853C3" w:rsidRDefault="00E56585" w:rsidP="005E0904">
      <w:pPr>
        <w:pStyle w:val="ListParagraph"/>
        <w:numPr>
          <w:ilvl w:val="0"/>
          <w:numId w:val="1"/>
        </w:numPr>
        <w:spacing w:after="0"/>
      </w:pPr>
      <w:r w:rsidRPr="00C853C3">
        <w:t>All anticipated planning use case</w:t>
      </w:r>
      <w:r w:rsidR="00BA51E8">
        <w:t xml:space="preserve"> scenarios</w:t>
      </w:r>
      <w:r w:rsidRPr="00C853C3">
        <w:t xml:space="preserve"> are defined in this report.</w:t>
      </w:r>
    </w:p>
    <w:p w14:paraId="5689EEA4" w14:textId="2BFE3B08" w:rsidR="0022237C" w:rsidRPr="00C853C3" w:rsidRDefault="005E0904" w:rsidP="005E0904">
      <w:pPr>
        <w:pStyle w:val="ListParagraph"/>
        <w:numPr>
          <w:ilvl w:val="0"/>
          <w:numId w:val="1"/>
        </w:numPr>
        <w:spacing w:after="0"/>
      </w:pPr>
      <w:r w:rsidRPr="00C853C3">
        <w:t xml:space="preserve">IOUs recommend that the term “planning” use case refer only to use cases that will directly feed into </w:t>
      </w:r>
      <w:r w:rsidR="003249FA">
        <w:t>grid investments</w:t>
      </w:r>
      <w:r w:rsidRPr="00C853C3">
        <w:t xml:space="preserve">. </w:t>
      </w:r>
    </w:p>
    <w:p w14:paraId="2A7EE52C" w14:textId="709A6E51" w:rsidR="005B5D1B" w:rsidRDefault="005B5D1B" w:rsidP="005E0904">
      <w:pPr>
        <w:pStyle w:val="ListParagraph"/>
        <w:numPr>
          <w:ilvl w:val="0"/>
          <w:numId w:val="1"/>
        </w:numPr>
        <w:spacing w:after="0"/>
      </w:pPr>
      <w:r>
        <w:t>Non-IOUs recognize that “planning” encompasses both the annual Distribution Planning Process that will likely be addressed in a Track 3 decision this fall and broader planning activities that shape the grid, including policymaking</w:t>
      </w:r>
      <w:r w:rsidR="00EF304B">
        <w:t>.</w:t>
      </w:r>
    </w:p>
    <w:p w14:paraId="53AF5598" w14:textId="67FEC187" w:rsidR="00A018BA" w:rsidRPr="00C853C3" w:rsidRDefault="00A018BA" w:rsidP="005E0904">
      <w:pPr>
        <w:pStyle w:val="ListParagraph"/>
        <w:numPr>
          <w:ilvl w:val="0"/>
          <w:numId w:val="1"/>
        </w:numPr>
        <w:spacing w:after="0"/>
      </w:pPr>
      <w:r w:rsidRPr="00C853C3">
        <w:t xml:space="preserve">Non-IOUs recommend that </w:t>
      </w:r>
      <w:r w:rsidR="00B04311">
        <w:t>the planning use case</w:t>
      </w:r>
      <w:r w:rsidRPr="00C853C3">
        <w:t xml:space="preserve"> be defined and evaluated before </w:t>
      </w:r>
      <w:r w:rsidR="003249FA">
        <w:t xml:space="preserve">defining </w:t>
      </w:r>
      <w:r w:rsidRPr="00C853C3">
        <w:t xml:space="preserve">a </w:t>
      </w:r>
      <w:r w:rsidR="00E400D8">
        <w:t xml:space="preserve">methodology that will be used for the </w:t>
      </w:r>
      <w:r w:rsidRPr="00C853C3">
        <w:t>“planning” ICA or ICAs.</w:t>
      </w:r>
    </w:p>
    <w:p w14:paraId="0572985A" w14:textId="384B151B" w:rsidR="00A018BA" w:rsidRPr="00C853C3" w:rsidRDefault="00A018BA" w:rsidP="0051754A">
      <w:pPr>
        <w:pStyle w:val="ListParagraph"/>
        <w:numPr>
          <w:ilvl w:val="0"/>
          <w:numId w:val="1"/>
        </w:numPr>
        <w:spacing w:after="0"/>
      </w:pPr>
      <w:r w:rsidRPr="00C853C3">
        <w:t>Open issues to be evaluated and resolved:</w:t>
      </w:r>
    </w:p>
    <w:p w14:paraId="7CB9ABD9" w14:textId="4B691381" w:rsidR="00F41B21" w:rsidRDefault="00F41B21" w:rsidP="005D3F6F">
      <w:pPr>
        <w:pStyle w:val="ListParagraph"/>
        <w:numPr>
          <w:ilvl w:val="1"/>
          <w:numId w:val="1"/>
        </w:numPr>
        <w:spacing w:after="0"/>
      </w:pPr>
      <w:r>
        <w:t xml:space="preserve">Define </w:t>
      </w:r>
      <w:r w:rsidR="00656FD0">
        <w:t>desired functionality of the ICA for the planning use case</w:t>
      </w:r>
    </w:p>
    <w:p w14:paraId="33758107" w14:textId="3E717315" w:rsidR="00A018BA" w:rsidRPr="00C853C3" w:rsidRDefault="00656FD0" w:rsidP="006D2107">
      <w:pPr>
        <w:pStyle w:val="ListParagraph"/>
        <w:numPr>
          <w:ilvl w:val="2"/>
          <w:numId w:val="1"/>
        </w:numPr>
        <w:spacing w:after="0"/>
      </w:pPr>
      <w:r>
        <w:t>This could be characterized as multiple different use cases, or rather an identification of the specific ways it would be used in order to shape ICA modeling functionality</w:t>
      </w:r>
      <w:r w:rsidR="00E400D8">
        <w:t xml:space="preserve"> (scenarios)</w:t>
      </w:r>
      <w:r>
        <w:t xml:space="preserve">. </w:t>
      </w:r>
    </w:p>
    <w:p w14:paraId="3DE3C9AD" w14:textId="62BC3F92" w:rsidR="00A018BA" w:rsidRPr="00C853C3" w:rsidRDefault="00A018BA" w:rsidP="005D3F6F">
      <w:pPr>
        <w:pStyle w:val="ListParagraph"/>
        <w:numPr>
          <w:ilvl w:val="1"/>
          <w:numId w:val="1"/>
        </w:numPr>
        <w:spacing w:after="0"/>
      </w:pPr>
      <w:r w:rsidRPr="00C853C3">
        <w:t>Define ICA requirements for the use case, while considering future need</w:t>
      </w:r>
      <w:r w:rsidR="00BA51E8">
        <w:t>s</w:t>
      </w:r>
      <w:r w:rsidRPr="00C853C3">
        <w:t xml:space="preserve"> for </w:t>
      </w:r>
      <w:r w:rsidR="00656FD0">
        <w:t>additional functionality</w:t>
      </w:r>
    </w:p>
    <w:p w14:paraId="0F066B6C" w14:textId="73625B1D" w:rsidR="00622DD9" w:rsidRPr="00C853C3" w:rsidRDefault="00622DD9" w:rsidP="005D3F6F">
      <w:pPr>
        <w:pStyle w:val="ListParagraph"/>
        <w:numPr>
          <w:ilvl w:val="2"/>
          <w:numId w:val="1"/>
        </w:numPr>
        <w:spacing w:after="0"/>
      </w:pPr>
      <w:r w:rsidRPr="00C853C3">
        <w:t>Incorporate findings, conclusions, and orders from the Track 3 proposed decision to help define planning use case, understanding that these are draft pending a final decision</w:t>
      </w:r>
    </w:p>
    <w:p w14:paraId="7101C7E8" w14:textId="634FA2AC" w:rsidR="00622DD9" w:rsidRPr="00C853C3" w:rsidRDefault="00622DD9" w:rsidP="005D3F6F">
      <w:pPr>
        <w:pStyle w:val="ListParagraph"/>
        <w:numPr>
          <w:ilvl w:val="2"/>
          <w:numId w:val="1"/>
        </w:numPr>
        <w:spacing w:after="0"/>
      </w:pPr>
      <w:r w:rsidRPr="00C853C3">
        <w:t>Incorporate input from IRP proceeding</w:t>
      </w:r>
    </w:p>
    <w:p w14:paraId="5209E086" w14:textId="184B743D" w:rsidR="0084747E" w:rsidRPr="00C853C3" w:rsidRDefault="00CD5620" w:rsidP="005D3F6F">
      <w:pPr>
        <w:pStyle w:val="ListParagraph"/>
        <w:numPr>
          <w:ilvl w:val="1"/>
          <w:numId w:val="1"/>
        </w:numPr>
        <w:spacing w:after="0"/>
      </w:pPr>
      <w:r w:rsidRPr="00C853C3">
        <w:t>E</w:t>
      </w:r>
      <w:r w:rsidR="0085645D" w:rsidRPr="00C853C3">
        <w:t>valuate proposed options</w:t>
      </w:r>
      <w:r w:rsidRPr="00C853C3">
        <w:t xml:space="preserve"> </w:t>
      </w:r>
      <w:r w:rsidR="0085645D" w:rsidRPr="00C853C3">
        <w:t xml:space="preserve">of assessing </w:t>
      </w:r>
      <w:r w:rsidRPr="00C853C3">
        <w:t>DER growth scenarios</w:t>
      </w:r>
      <w:r w:rsidR="0085645D" w:rsidRPr="00C853C3">
        <w:t xml:space="preserve"> within ICA</w:t>
      </w:r>
    </w:p>
    <w:p w14:paraId="4E0AFEA4" w14:textId="77777777" w:rsidR="00A018BA" w:rsidRDefault="00A018BA" w:rsidP="005D3F6F">
      <w:pPr>
        <w:pStyle w:val="ListParagraph"/>
        <w:numPr>
          <w:ilvl w:val="1"/>
          <w:numId w:val="1"/>
        </w:numPr>
        <w:spacing w:after="0"/>
      </w:pPr>
      <w:r w:rsidRPr="00C853C3">
        <w:t xml:space="preserve">Determine if the iterative methodology and process for producing ICA values and maps can be modified to meet planning use cases, or if another methodology is needed. </w:t>
      </w:r>
    </w:p>
    <w:p w14:paraId="5B914F2E" w14:textId="70977CDD" w:rsidR="00656FD0" w:rsidRPr="00C853C3" w:rsidRDefault="00656FD0" w:rsidP="005D3F6F">
      <w:pPr>
        <w:pStyle w:val="ListParagraph"/>
        <w:numPr>
          <w:ilvl w:val="1"/>
          <w:numId w:val="1"/>
        </w:numPr>
        <w:spacing w:after="0"/>
      </w:pPr>
      <w:r>
        <w:t xml:space="preserve">Determine if any of the identified functionality will be difficult to meet within current capabilities and/or reasonable costs.  Prioritize functionalities accordingly.  </w:t>
      </w:r>
    </w:p>
    <w:p w14:paraId="14CBB89E" w14:textId="52F6D57C" w:rsidR="00A018BA" w:rsidRPr="00C853C3" w:rsidRDefault="00A018BA" w:rsidP="005D3F6F">
      <w:pPr>
        <w:pStyle w:val="ListParagraph"/>
        <w:numPr>
          <w:ilvl w:val="1"/>
          <w:numId w:val="1"/>
        </w:numPr>
        <w:spacing w:after="0"/>
      </w:pPr>
      <w:r w:rsidRPr="00C853C3">
        <w:t>Finalize ICA methodologies to be used, and define interactions if more than one method is used.</w:t>
      </w:r>
    </w:p>
    <w:p w14:paraId="5764092E" w14:textId="7535278D" w:rsidR="008C12AE" w:rsidRPr="00C853C3" w:rsidRDefault="008C12AE" w:rsidP="00637DAA">
      <w:pPr>
        <w:pStyle w:val="ListParagraph"/>
        <w:spacing w:after="0"/>
      </w:pPr>
    </w:p>
    <w:p w14:paraId="4B1A7239" w14:textId="5FFE1CB4" w:rsidR="0060192D" w:rsidRPr="00C853C3" w:rsidRDefault="00041025" w:rsidP="00461327">
      <w:pPr>
        <w:pStyle w:val="Heading1"/>
        <w:spacing w:before="0"/>
      </w:pPr>
      <w:r w:rsidRPr="00C853C3">
        <w:t>Introduction and Background</w:t>
      </w:r>
    </w:p>
    <w:p w14:paraId="4EDA85C0" w14:textId="35B547FD" w:rsidR="00473FAD" w:rsidRPr="00C853C3" w:rsidRDefault="00B04311" w:rsidP="0049448A">
      <w:pPr>
        <w:spacing w:after="0"/>
      </w:pPr>
      <w:r>
        <w:t>The need for a d</w:t>
      </w:r>
      <w:r w:rsidR="0075373B" w:rsidRPr="00C853C3">
        <w:t xml:space="preserve">efinition of </w:t>
      </w:r>
      <w:r>
        <w:t>“</w:t>
      </w:r>
      <w:r w:rsidR="0075373B" w:rsidRPr="00C853C3">
        <w:t>use cases</w:t>
      </w:r>
      <w:r>
        <w:t>”</w:t>
      </w:r>
      <w:r w:rsidR="0075373B" w:rsidRPr="00C853C3">
        <w:t xml:space="preserve"> was identified by the </w:t>
      </w:r>
      <w:r w:rsidR="00622DD9" w:rsidRPr="00C853C3">
        <w:t>ICA W</w:t>
      </w:r>
      <w:r w:rsidR="00443FFD">
        <w:t xml:space="preserve">orking </w:t>
      </w:r>
      <w:r w:rsidR="00622DD9" w:rsidRPr="00C853C3">
        <w:t>G</w:t>
      </w:r>
      <w:r w:rsidR="00443FFD">
        <w:t>roup (WG)</w:t>
      </w:r>
      <w:r w:rsidR="0075373B" w:rsidRPr="00C853C3">
        <w:t>, rather than the CPUC, in part to help ensure compliance with ORA’s proposed success criteria for ICA to provide accurate and “meaningful” results.  B</w:t>
      </w:r>
      <w:r w:rsidR="00963FCC" w:rsidRPr="00C853C3">
        <w:t>ased on WG efforts to date</w:t>
      </w:r>
      <w:r>
        <w:t>,</w:t>
      </w:r>
      <w:r w:rsidR="00963FCC" w:rsidRPr="00C853C3">
        <w:t xml:space="preserve"> it is apparent that the optimum ICA methodology involves balancing accuracy, processing time, spatial granularity, and other </w:t>
      </w:r>
      <w:r w:rsidR="00473FAD" w:rsidRPr="00C853C3">
        <w:t xml:space="preserve">factors, and that the optimum balance depends on the “use case” defining how the tool will be used.  Development of the optimum ICA methodology is driven by the use case, but it is also an iterative process where information of cost and timing of development and implementation can and should be fed back into the definition of </w:t>
      </w:r>
      <w:r>
        <w:t xml:space="preserve">the </w:t>
      </w:r>
      <w:r w:rsidR="00473FAD" w:rsidRPr="00C853C3">
        <w:t>use case.</w:t>
      </w:r>
      <w:r w:rsidR="00DB3CE8" w:rsidRPr="00C853C3">
        <w:t xml:space="preserve">  Ideally, one ICA tool will meet all </w:t>
      </w:r>
      <w:r>
        <w:t>functionalities</w:t>
      </w:r>
      <w:r w:rsidR="004A257F">
        <w:t xml:space="preserve">, but </w:t>
      </w:r>
      <w:r w:rsidR="0088256C">
        <w:t xml:space="preserve">the WG recognizes </w:t>
      </w:r>
      <w:r w:rsidR="00295718">
        <w:t xml:space="preserve">that this </w:t>
      </w:r>
      <w:r w:rsidR="0011750E">
        <w:t>may</w:t>
      </w:r>
      <w:r w:rsidR="00295718">
        <w:t xml:space="preserve"> not be feasible</w:t>
      </w:r>
      <w:r w:rsidR="00DB3CE8" w:rsidRPr="00C853C3">
        <w:t>.</w:t>
      </w:r>
    </w:p>
    <w:p w14:paraId="1ECAEC1A" w14:textId="77777777" w:rsidR="00473FAD" w:rsidRPr="00C853C3" w:rsidRDefault="00473FAD" w:rsidP="0049448A">
      <w:pPr>
        <w:spacing w:after="0"/>
      </w:pPr>
    </w:p>
    <w:p w14:paraId="3B284617" w14:textId="5FDA2B92" w:rsidR="002E1F76" w:rsidRDefault="38347171" w:rsidP="0049448A">
      <w:pPr>
        <w:spacing w:after="0"/>
      </w:pPr>
      <w:r w:rsidRPr="00C853C3">
        <w:t>The ICA WG</w:t>
      </w:r>
      <w:r w:rsidR="00963FCC" w:rsidRPr="00C853C3">
        <w:t xml:space="preserve"> March 15, 2017 Final Report</w:t>
      </w:r>
      <w:r w:rsidRPr="00C853C3">
        <w:t xml:space="preserve"> </w:t>
      </w:r>
      <w:r w:rsidR="00963FCC" w:rsidRPr="00C853C3">
        <w:t xml:space="preserve">on short-term issues </w:t>
      </w:r>
      <w:r w:rsidRPr="00C853C3">
        <w:t>identified two</w:t>
      </w:r>
      <w:r w:rsidR="0088295A">
        <w:t xml:space="preserve"> broad</w:t>
      </w:r>
      <w:r w:rsidRPr="00C853C3">
        <w:t xml:space="preserve"> use cases for ICA</w:t>
      </w:r>
      <w:r w:rsidR="00473FAD" w:rsidRPr="00C853C3">
        <w:t>, summarized as</w:t>
      </w:r>
      <w:r w:rsidRPr="00C853C3">
        <w:t xml:space="preserve">: 1) to inform and improve the Rule 21 interconnection process, and 2) to inform and identify DER growth constraints and opportunities in the planning process. The interconnection use case </w:t>
      </w:r>
      <w:r w:rsidR="00963FCC" w:rsidRPr="00C853C3">
        <w:t xml:space="preserve">and its impact of ICA requirements were </w:t>
      </w:r>
      <w:r w:rsidRPr="00C853C3">
        <w:t>detailed in the Final ICA WG report.</w:t>
      </w:r>
      <w:r w:rsidR="00473FAD" w:rsidRPr="00C853C3">
        <w:t xml:space="preserve">  </w:t>
      </w:r>
    </w:p>
    <w:p w14:paraId="40F44019" w14:textId="77777777" w:rsidR="002E1F76" w:rsidRDefault="002E1F76" w:rsidP="0049448A">
      <w:pPr>
        <w:spacing w:after="0"/>
      </w:pPr>
    </w:p>
    <w:p w14:paraId="1D6936F6" w14:textId="03D4355F" w:rsidR="00473FAD" w:rsidRPr="00C853C3" w:rsidRDefault="00473FAD" w:rsidP="0049448A">
      <w:pPr>
        <w:spacing w:after="0"/>
      </w:pPr>
      <w:r w:rsidRPr="00C853C3">
        <w:t xml:space="preserve">This proposal documents a planning use case which includes the following: </w:t>
      </w:r>
    </w:p>
    <w:p w14:paraId="3952482E" w14:textId="6D54DD3E" w:rsidR="00473FAD" w:rsidRPr="00C853C3" w:rsidRDefault="00473FAD" w:rsidP="005D3F6F">
      <w:pPr>
        <w:pStyle w:val="ListParagraph"/>
        <w:numPr>
          <w:ilvl w:val="0"/>
          <w:numId w:val="8"/>
        </w:numPr>
        <w:spacing w:after="0"/>
      </w:pPr>
      <w:r w:rsidRPr="00C853C3">
        <w:t xml:space="preserve">Descriptions of potential </w:t>
      </w:r>
      <w:r w:rsidR="00C43C2A">
        <w:t xml:space="preserve">planning </w:t>
      </w:r>
      <w:r w:rsidRPr="00C853C3">
        <w:t xml:space="preserve">ICA </w:t>
      </w:r>
      <w:r w:rsidR="001521F9" w:rsidRPr="00C853C3">
        <w:t xml:space="preserve">applications and how ICA may be used, </w:t>
      </w:r>
      <w:r w:rsidRPr="00C853C3">
        <w:t>beyond the interconnection use case,</w:t>
      </w:r>
    </w:p>
    <w:p w14:paraId="1D8F8647" w14:textId="7F3A8A2F" w:rsidR="00473FAD" w:rsidRDefault="00473FAD" w:rsidP="005D3F6F">
      <w:pPr>
        <w:pStyle w:val="ListParagraph"/>
        <w:numPr>
          <w:ilvl w:val="0"/>
          <w:numId w:val="8"/>
        </w:numPr>
        <w:spacing w:after="0"/>
      </w:pPr>
      <w:r w:rsidRPr="00C853C3">
        <w:t xml:space="preserve">A </w:t>
      </w:r>
      <w:r w:rsidR="001521F9" w:rsidRPr="00C853C3">
        <w:t>descriptive list</w:t>
      </w:r>
      <w:r w:rsidRPr="00C853C3">
        <w:t xml:space="preserve"> of </w:t>
      </w:r>
      <w:r w:rsidR="00BA51E8">
        <w:t xml:space="preserve">the technical </w:t>
      </w:r>
      <w:r w:rsidRPr="00C853C3">
        <w:t xml:space="preserve">ICA characteristics </w:t>
      </w:r>
      <w:r w:rsidR="00BA51E8">
        <w:t xml:space="preserve">that are </w:t>
      </w:r>
      <w:r w:rsidRPr="00C853C3">
        <w:t xml:space="preserve">driven by </w:t>
      </w:r>
      <w:r w:rsidR="0088295A" w:rsidRPr="00C853C3">
        <w:t>th</w:t>
      </w:r>
      <w:r w:rsidR="0088295A">
        <w:t xml:space="preserve">is </w:t>
      </w:r>
      <w:r w:rsidRPr="00C853C3">
        <w:t>use case,</w:t>
      </w:r>
    </w:p>
    <w:p w14:paraId="23B7DAE3" w14:textId="6471405A" w:rsidR="00BA51E8" w:rsidRPr="00C853C3" w:rsidRDefault="00BA51E8" w:rsidP="00BA51E8">
      <w:pPr>
        <w:pStyle w:val="ListParagraph"/>
        <w:numPr>
          <w:ilvl w:val="0"/>
          <w:numId w:val="8"/>
        </w:numPr>
        <w:spacing w:after="0"/>
      </w:pPr>
      <w:r w:rsidRPr="00C853C3">
        <w:t xml:space="preserve">A </w:t>
      </w:r>
      <w:r>
        <w:t xml:space="preserve">preliminary </w:t>
      </w:r>
      <w:r w:rsidR="00FD5745">
        <w:t>discussion</w:t>
      </w:r>
      <w:r w:rsidRPr="00C853C3">
        <w:t xml:space="preserve"> of </w:t>
      </w:r>
      <w:r>
        <w:t xml:space="preserve">the technical </w:t>
      </w:r>
      <w:r w:rsidRPr="00C853C3">
        <w:t xml:space="preserve">ICA characteristics </w:t>
      </w:r>
      <w:r>
        <w:t xml:space="preserve">that are </w:t>
      </w:r>
      <w:r w:rsidRPr="00C853C3">
        <w:t>driven by th</w:t>
      </w:r>
      <w:r>
        <w:t xml:space="preserve">is </w:t>
      </w:r>
      <w:r w:rsidRPr="00C853C3">
        <w:t>use case,</w:t>
      </w:r>
    </w:p>
    <w:p w14:paraId="2F7D2A7F" w14:textId="09D781FD" w:rsidR="00473FAD" w:rsidRDefault="00DB3CE8" w:rsidP="005D3F6F">
      <w:pPr>
        <w:pStyle w:val="ListParagraph"/>
        <w:numPr>
          <w:ilvl w:val="0"/>
          <w:numId w:val="8"/>
        </w:numPr>
        <w:spacing w:after="0"/>
      </w:pPr>
      <w:r w:rsidRPr="00C853C3">
        <w:t xml:space="preserve">Recommendations regarding how to minimize IOU effort and ratepayer costs to develop and maintain </w:t>
      </w:r>
      <w:r w:rsidR="00A018BA" w:rsidRPr="00C853C3">
        <w:t>more than</w:t>
      </w:r>
      <w:r w:rsidRPr="00C853C3">
        <w:t xml:space="preserve"> one ICA tool</w:t>
      </w:r>
      <w:r w:rsidR="00F52885">
        <w:t xml:space="preserve"> (if one is needed)</w:t>
      </w:r>
      <w:r w:rsidRPr="00C853C3">
        <w:t>.</w:t>
      </w:r>
    </w:p>
    <w:p w14:paraId="4DA8ADE6" w14:textId="77777777" w:rsidR="00DA10CC" w:rsidRDefault="00DA10CC" w:rsidP="00DA10CC">
      <w:pPr>
        <w:pStyle w:val="ListParagraph"/>
        <w:spacing w:after="0"/>
      </w:pPr>
    </w:p>
    <w:p w14:paraId="37D9C67A" w14:textId="53D3508B" w:rsidR="00473FAD" w:rsidRPr="00C853C3" w:rsidRDefault="00DA10CC" w:rsidP="0049448A">
      <w:pPr>
        <w:spacing w:after="0"/>
      </w:pPr>
      <w:r w:rsidRPr="00E7266E">
        <w:t>These reco</w:t>
      </w:r>
      <w:r w:rsidR="0070138E" w:rsidRPr="00E7266E">
        <w:t xml:space="preserve">mmendations are supported by </w:t>
      </w:r>
      <w:r w:rsidR="00E7266E" w:rsidRPr="00E7266E">
        <w:t>the Office of Ratepayer Advocates, the Interstate Renewable Energy Council, Inc., Vote Solar, the Solar Energy Industries Association, the Clean Coalition</w:t>
      </w:r>
      <w:r w:rsidR="00DD5BEC">
        <w:t>, and Stem</w:t>
      </w:r>
      <w:bookmarkStart w:id="0" w:name="_GoBack"/>
      <w:bookmarkEnd w:id="0"/>
      <w:r w:rsidR="00E7266E" w:rsidRPr="00E7266E">
        <w:t>.</w:t>
      </w:r>
      <w:r w:rsidR="00E7266E">
        <w:t xml:space="preserve"> </w:t>
      </w:r>
    </w:p>
    <w:p w14:paraId="2472FD02" w14:textId="702841BC" w:rsidR="008E7EC9" w:rsidRPr="00C853C3" w:rsidRDefault="00B63A63" w:rsidP="008E7EC9">
      <w:pPr>
        <w:pStyle w:val="Heading1"/>
      </w:pPr>
      <w:r w:rsidRPr="00C853C3">
        <w:t xml:space="preserve">ICA Applications and Uses </w:t>
      </w:r>
      <w:r w:rsidR="00D247EA" w:rsidRPr="00C853C3">
        <w:t>Beyond Interconnection</w:t>
      </w:r>
      <w:r w:rsidR="002803ED" w:rsidRPr="00C853C3">
        <w:t xml:space="preserve"> Use Case</w:t>
      </w:r>
    </w:p>
    <w:p w14:paraId="6F772998" w14:textId="64C7FE53" w:rsidR="00DB3CE8" w:rsidRPr="00C853C3" w:rsidRDefault="00DB3CE8" w:rsidP="001521F9">
      <w:pPr>
        <w:spacing w:after="0"/>
      </w:pPr>
      <w:r w:rsidRPr="00C853C3">
        <w:t>The ICA has been identified by the CPUC and parties for use in multiple planning processes, including, but not limited to</w:t>
      </w:r>
      <w:r w:rsidR="008444D3">
        <w:t xml:space="preserve"> the following scenarios</w:t>
      </w:r>
      <w:r w:rsidRPr="00C853C3">
        <w:t>:</w:t>
      </w:r>
    </w:p>
    <w:p w14:paraId="769660DC" w14:textId="2ABD7D87" w:rsidR="00DB3CE8" w:rsidRPr="00C853C3" w:rsidRDefault="00DB3CE8" w:rsidP="005D3F6F">
      <w:pPr>
        <w:pStyle w:val="ListParagraph"/>
        <w:numPr>
          <w:ilvl w:val="0"/>
          <w:numId w:val="9"/>
        </w:numPr>
        <w:spacing w:after="0"/>
      </w:pPr>
      <w:r w:rsidRPr="00C853C3">
        <w:t xml:space="preserve">Identification of low IC locations where current or </w:t>
      </w:r>
      <w:r w:rsidR="00AC0E30" w:rsidRPr="00C853C3">
        <w:t>queued</w:t>
      </w:r>
      <w:r w:rsidRPr="00C853C3">
        <w:t xml:space="preserve"> DER </w:t>
      </w:r>
      <w:r w:rsidR="00AC0E30" w:rsidRPr="00C853C3">
        <w:t>require immediate mitigation,</w:t>
      </w:r>
      <w:r w:rsidR="00AC0E30" w:rsidRPr="00C853C3">
        <w:rPr>
          <w:rStyle w:val="FootnoteReference"/>
        </w:rPr>
        <w:footnoteReference w:id="1"/>
      </w:r>
    </w:p>
    <w:p w14:paraId="59B132F0" w14:textId="14CB02C5" w:rsidR="00AC0E30" w:rsidRPr="00C853C3" w:rsidRDefault="00AC0E30" w:rsidP="00AC0E30">
      <w:pPr>
        <w:pStyle w:val="ListParagraph"/>
        <w:numPr>
          <w:ilvl w:val="0"/>
          <w:numId w:val="9"/>
        </w:numPr>
        <w:spacing w:after="0"/>
      </w:pPr>
      <w:r w:rsidRPr="00C853C3">
        <w:t>Identification of low IC locations where current or queued DER justify additional data acquisition and analysis,</w:t>
      </w:r>
    </w:p>
    <w:p w14:paraId="731211BB" w14:textId="2E6B47E6" w:rsidR="00AC0E30" w:rsidRPr="00C853C3" w:rsidRDefault="00AC0E30" w:rsidP="00AC0E30">
      <w:pPr>
        <w:pStyle w:val="ListParagraph"/>
        <w:numPr>
          <w:ilvl w:val="0"/>
          <w:numId w:val="9"/>
        </w:numPr>
        <w:spacing w:after="0"/>
      </w:pPr>
      <w:r w:rsidRPr="00C853C3">
        <w:t xml:space="preserve">Identification of locations where forecast DER and load growth </w:t>
      </w:r>
      <w:r w:rsidRPr="00C853C3">
        <w:rPr>
          <w:u w:val="single"/>
        </w:rPr>
        <w:t>could</w:t>
      </w:r>
      <w:r w:rsidRPr="00C853C3">
        <w:t xml:space="preserve"> support mitigation through the annual IOU distribution planning process,</w:t>
      </w:r>
      <w:r w:rsidR="004B1355" w:rsidRPr="00C853C3">
        <w:t xml:space="preserve"> </w:t>
      </w:r>
    </w:p>
    <w:p w14:paraId="55BAEB3E" w14:textId="2DFDA8B6" w:rsidR="004A0A3E" w:rsidRPr="00C853C3" w:rsidRDefault="004A0A3E" w:rsidP="005D3F6F">
      <w:pPr>
        <w:pStyle w:val="ListParagraph"/>
        <w:numPr>
          <w:ilvl w:val="0"/>
          <w:numId w:val="9"/>
        </w:numPr>
      </w:pPr>
      <w:r w:rsidRPr="00C853C3">
        <w:t xml:space="preserve">Identification of locations where forecast DER and load growth </w:t>
      </w:r>
      <w:r w:rsidRPr="00C853C3">
        <w:rPr>
          <w:u w:val="single"/>
        </w:rPr>
        <w:t>could</w:t>
      </w:r>
      <w:r w:rsidRPr="00C853C3">
        <w:t xml:space="preserve"> support additional data acquisition and analysis identified through the annual IOU distribution planning process, for use in subsequent annual planning processes,</w:t>
      </w:r>
    </w:p>
    <w:p w14:paraId="50902B3D" w14:textId="7723EC67" w:rsidR="00AC0E30" w:rsidRPr="00C853C3" w:rsidRDefault="00B25C6D" w:rsidP="00AC0E30">
      <w:pPr>
        <w:pStyle w:val="ListParagraph"/>
        <w:numPr>
          <w:ilvl w:val="0"/>
          <w:numId w:val="9"/>
        </w:numPr>
        <w:spacing w:after="0"/>
      </w:pPr>
      <w:r w:rsidRPr="00C853C3">
        <w:t>Definition and prioritization</w:t>
      </w:r>
      <w:r w:rsidR="00D90313" w:rsidRPr="00C853C3">
        <w:t xml:space="preserve"> system wide grid  investments</w:t>
      </w:r>
      <w:r w:rsidR="00A23DA2">
        <w:t>, if any,</w:t>
      </w:r>
      <w:r w:rsidR="00D90313" w:rsidRPr="00C853C3">
        <w:t xml:space="preserve"> to accommodate DER or enable benefits from DER (Grid Modernization),</w:t>
      </w:r>
      <w:r w:rsidR="00553FA1">
        <w:t xml:space="preserve"> and</w:t>
      </w:r>
    </w:p>
    <w:p w14:paraId="5F54E8BE" w14:textId="78D1FDD3" w:rsidR="00D90313" w:rsidRPr="00C853C3" w:rsidRDefault="00223364" w:rsidP="00080256">
      <w:pPr>
        <w:pStyle w:val="ListParagraph"/>
        <w:numPr>
          <w:ilvl w:val="0"/>
          <w:numId w:val="9"/>
        </w:numPr>
        <w:spacing w:after="0"/>
      </w:pPr>
      <w:r>
        <w:t>Analysis of impacts and implications of potential policy interventions, including, but not limited to, incentives, rate changes, and tariffs</w:t>
      </w:r>
      <w:r w:rsidR="00553FA1">
        <w:t>.</w:t>
      </w:r>
    </w:p>
    <w:p w14:paraId="64E67182" w14:textId="77777777" w:rsidR="004B1355" w:rsidRPr="00C853C3" w:rsidRDefault="004B1355" w:rsidP="005D3F6F">
      <w:pPr>
        <w:pStyle w:val="ListParagraph"/>
        <w:spacing w:after="0"/>
        <w:ind w:left="765"/>
      </w:pPr>
    </w:p>
    <w:p w14:paraId="5599DA28" w14:textId="2339B7DE" w:rsidR="00D247EA" w:rsidRPr="00C853C3" w:rsidRDefault="008E7EC9" w:rsidP="008E7EC9">
      <w:r w:rsidRPr="00C853C3">
        <w:t xml:space="preserve">During the </w:t>
      </w:r>
      <w:r w:rsidR="0070138E">
        <w:t>WG</w:t>
      </w:r>
      <w:r w:rsidRPr="00C853C3">
        <w:t xml:space="preserve"> discussion</w:t>
      </w:r>
      <w:r w:rsidR="00D247EA" w:rsidRPr="00C853C3">
        <w:t xml:space="preserve"> in August 2017</w:t>
      </w:r>
      <w:r w:rsidRPr="00C853C3">
        <w:t xml:space="preserve">, it became clear that stakeholders had different visions for the definition and purpose of </w:t>
      </w:r>
      <w:r w:rsidR="00D247EA" w:rsidRPr="00C853C3">
        <w:t xml:space="preserve">the </w:t>
      </w:r>
      <w:r w:rsidRPr="00C853C3">
        <w:t xml:space="preserve">“planning use case.”  </w:t>
      </w:r>
      <w:r w:rsidR="00D247EA" w:rsidRPr="00C853C3">
        <w:t xml:space="preserve">The IOU vision focused on </w:t>
      </w:r>
      <w:r w:rsidR="00AC7898">
        <w:t>a</w:t>
      </w:r>
      <w:r w:rsidR="00AC7898" w:rsidRPr="00C853C3">
        <w:t xml:space="preserve"> </w:t>
      </w:r>
      <w:r w:rsidRPr="00BA51E8">
        <w:t>“Distribution Capacity Planning Use Case</w:t>
      </w:r>
      <w:r w:rsidR="0022237C" w:rsidRPr="00BA51E8">
        <w:t>”</w:t>
      </w:r>
      <w:r w:rsidR="00D247EA" w:rsidRPr="00C853C3">
        <w:rPr>
          <w:rStyle w:val="FootnoteReference"/>
        </w:rPr>
        <w:footnoteReference w:id="2"/>
      </w:r>
      <w:r w:rsidR="00925F23">
        <w:t xml:space="preserve"> that </w:t>
      </w:r>
      <w:r w:rsidR="00FD3E1D">
        <w:t xml:space="preserve">is intended to </w:t>
      </w:r>
      <w:r w:rsidR="00F6489B">
        <w:t>identify</w:t>
      </w:r>
      <w:r w:rsidR="00925F23">
        <w:t xml:space="preserve"> </w:t>
      </w:r>
      <w:r w:rsidR="00721FF6">
        <w:t xml:space="preserve">potential </w:t>
      </w:r>
      <w:r w:rsidR="00925F23">
        <w:t>grid investments</w:t>
      </w:r>
      <w:r w:rsidR="00567EB4">
        <w:t xml:space="preserve"> that the utilities would address directly</w:t>
      </w:r>
      <w:r w:rsidR="00900C8A" w:rsidRPr="00C853C3">
        <w:t>:</w:t>
      </w:r>
      <w:r w:rsidR="0022237C" w:rsidRPr="00C853C3">
        <w:t xml:space="preserve"> </w:t>
      </w:r>
    </w:p>
    <w:p w14:paraId="6A410568" w14:textId="7A989799" w:rsidR="00D247EA" w:rsidRPr="00C853C3" w:rsidRDefault="00D247EA" w:rsidP="009B59A2">
      <w:pPr>
        <w:ind w:left="720" w:right="720"/>
      </w:pPr>
      <w:r w:rsidRPr="00C853C3">
        <w:lastRenderedPageBreak/>
        <w:t>“</w:t>
      </w:r>
      <w:r w:rsidR="0022237C" w:rsidRPr="00C853C3">
        <w:t>Th</w:t>
      </w:r>
      <w:r w:rsidRPr="00C853C3">
        <w:t>e</w:t>
      </w:r>
      <w:r w:rsidR="0022237C" w:rsidRPr="00C853C3">
        <w:t xml:space="preserve"> purpose of the</w:t>
      </w:r>
      <w:r w:rsidR="008E7EC9" w:rsidRPr="00C853C3">
        <w:t xml:space="preserve"> use case is to </w:t>
      </w:r>
      <w:r w:rsidR="008E7EC9" w:rsidRPr="00C853C3">
        <w:rPr>
          <w:i/>
        </w:rPr>
        <w:t>identify system needs expected to be created by future DER growth, for the purpose of preemptively addressing these needs.</w:t>
      </w:r>
      <w:r w:rsidR="008E7EC9" w:rsidRPr="00C853C3">
        <w:t xml:space="preserve">  This use case is envisioned to become an integral part of utility operations and feed in directly to the utility annual distribution planning process.  The outcome is exp</w:t>
      </w:r>
      <w:r w:rsidR="0022237C" w:rsidRPr="00C853C3">
        <w:t xml:space="preserve">ected to be either </w:t>
      </w:r>
      <w:r w:rsidR="008E7EC9" w:rsidRPr="00C853C3">
        <w:t>IOU capital investment to meet the need, or sourcing of DERs to defer the conventional investment.  Thus, forecasts and other policy assumptions should be consistent with current commission policy for distribution planning and investment.</w:t>
      </w:r>
      <w:r w:rsidR="00553FA1">
        <w:t>”</w:t>
      </w:r>
    </w:p>
    <w:p w14:paraId="6025273B" w14:textId="77777777" w:rsidR="0074447C" w:rsidRDefault="00D247EA" w:rsidP="008E7EC9">
      <w:r w:rsidRPr="00C853C3">
        <w:t xml:space="preserve">This corresponds to </w:t>
      </w:r>
      <w:r w:rsidR="007A6DF3">
        <w:t xml:space="preserve">scenario </w:t>
      </w:r>
      <w:r w:rsidRPr="00C853C3">
        <w:t xml:space="preserve">3 in the application list above.  While WG members generally agreed that this is an important </w:t>
      </w:r>
      <w:r w:rsidR="00553FA1">
        <w:t>component of the use case</w:t>
      </w:r>
      <w:r w:rsidR="007A6DF3">
        <w:t xml:space="preserve">, the non-IOU parties believe this is only one relevant scenario under the planning use case.  </w:t>
      </w:r>
      <w:r w:rsidR="006D2107">
        <w:t xml:space="preserve">Additionally, </w:t>
      </w:r>
      <w:r w:rsidR="00FD5745">
        <w:t>ORA</w:t>
      </w:r>
      <w:r w:rsidRPr="00C853C3">
        <w:t xml:space="preserve"> </w:t>
      </w:r>
      <w:r w:rsidR="00FD5745">
        <w:t>has</w:t>
      </w:r>
      <w:r w:rsidR="00FD5745" w:rsidRPr="00C853C3">
        <w:t xml:space="preserve"> </w:t>
      </w:r>
      <w:r w:rsidRPr="00C853C3">
        <w:t>previously expressed concern about</w:t>
      </w:r>
      <w:r w:rsidR="007C3ABF" w:rsidRPr="00C853C3">
        <w:t xml:space="preserve"> using forecasts of DER growth and resulting IC values for proactive investments</w:t>
      </w:r>
      <w:r w:rsidR="00FD5745">
        <w:t xml:space="preserve"> and this is reflected by the inclusion of Scenarios 1 and 2 below</w:t>
      </w:r>
      <w:r w:rsidR="007C3ABF" w:rsidRPr="00C853C3">
        <w:t>.</w:t>
      </w:r>
      <w:r w:rsidR="007C3ABF" w:rsidRPr="00C853C3">
        <w:rPr>
          <w:rStyle w:val="FootnoteReference"/>
        </w:rPr>
        <w:footnoteReference w:id="3"/>
      </w:r>
      <w:r w:rsidR="007C3ABF" w:rsidRPr="00C853C3">
        <w:t xml:space="preserve">  </w:t>
      </w:r>
    </w:p>
    <w:p w14:paraId="711F92CD" w14:textId="72BD427D" w:rsidR="008D107C" w:rsidRDefault="008D107C" w:rsidP="008E7EC9">
      <w:r>
        <w:t>The non-IOU parties also feel it is not appropriate to limit this use case to only considering upgrades for DERs where upgrades are socialized. Indeed, the scope of the new Rul</w:t>
      </w:r>
      <w:r w:rsidR="0074447C">
        <w:t>e 21 interconnection proceeding (R.17-07-007) includes</w:t>
      </w:r>
      <w:r>
        <w:t xml:space="preserve"> </w:t>
      </w:r>
      <w:r w:rsidR="0074447C">
        <w:t>consideration of</w:t>
      </w:r>
      <w:r>
        <w:t xml:space="preserve"> how costs might be allocated among </w:t>
      </w:r>
      <w:r w:rsidR="0074447C">
        <w:t>interconnecting DERs in a ways other the current last-in-line method of allocating costs for an upgrade. Forecasts of needs for such upgrades, and their costs, through the ICA planning scenario may be needed to facilitate a cost-sharing scheme</w:t>
      </w:r>
      <w:r>
        <w:t xml:space="preserve">. Utilities can break out socialized costs and pursue those </w:t>
      </w:r>
      <w:r w:rsidR="0074447C">
        <w:t xml:space="preserve">costs </w:t>
      </w:r>
      <w:r>
        <w:t>in their rate cases as appropriate under current policy, but forecasting of upgrade needs should not be limited only to categories of eligible projects (i.e., net energy metering projects under 1MW).</w:t>
      </w:r>
    </w:p>
    <w:p w14:paraId="472FBBC8" w14:textId="6AE5133A" w:rsidR="00D247EA" w:rsidRPr="00C853C3" w:rsidRDefault="00300CE6" w:rsidP="008E7EC9">
      <w:r>
        <w:t>N</w:t>
      </w:r>
      <w:r w:rsidR="00D247EA" w:rsidRPr="00C853C3">
        <w:t>on-IOU parties felt it was important</w:t>
      </w:r>
      <w:r w:rsidR="007C3ABF" w:rsidRPr="00C853C3">
        <w:t xml:space="preserve"> to define all potential ICA </w:t>
      </w:r>
      <w:r w:rsidR="00C72DC2">
        <w:t xml:space="preserve">planning </w:t>
      </w:r>
      <w:r w:rsidR="007A6DF3">
        <w:t>scenarios</w:t>
      </w:r>
      <w:r w:rsidR="007A6DF3" w:rsidRPr="00C853C3">
        <w:t xml:space="preserve"> </w:t>
      </w:r>
      <w:r w:rsidR="007C3ABF" w:rsidRPr="00C853C3">
        <w:t xml:space="preserve">even if it subsequently decided to </w:t>
      </w:r>
      <w:r w:rsidR="004B3A50" w:rsidRPr="00C853C3">
        <w:t xml:space="preserve">focus its current six </w:t>
      </w:r>
      <w:r w:rsidR="0075373B" w:rsidRPr="00C853C3">
        <w:t xml:space="preserve">month process on a prioritized list of </w:t>
      </w:r>
      <w:r w:rsidR="007A6DF3">
        <w:t>scenarios</w:t>
      </w:r>
      <w:r w:rsidR="0075373B" w:rsidRPr="00C853C3">
        <w:t>.</w:t>
      </w:r>
      <w:r w:rsidR="004B3A50" w:rsidRPr="00C853C3">
        <w:t xml:space="preserve">  Non-IOU parties provide the following descriptions for </w:t>
      </w:r>
      <w:r w:rsidR="00C72DC2">
        <w:t>the components of the planning use case listed above</w:t>
      </w:r>
      <w:r w:rsidR="000B0997">
        <w:t>:</w:t>
      </w:r>
    </w:p>
    <w:p w14:paraId="2B4CEA85" w14:textId="52798F13" w:rsidR="004B3A50" w:rsidRPr="00C853C3" w:rsidRDefault="004B3A50" w:rsidP="008E7EC9">
      <w:r w:rsidRPr="00C853C3">
        <w:rPr>
          <w:b/>
          <w:u w:val="single"/>
        </w:rPr>
        <w:t xml:space="preserve">Planning Use Case </w:t>
      </w:r>
      <w:r w:rsidR="002C5C52">
        <w:rPr>
          <w:b/>
          <w:u w:val="single"/>
        </w:rPr>
        <w:t>Scenario</w:t>
      </w:r>
      <w:r w:rsidR="007A6DF3">
        <w:rPr>
          <w:b/>
          <w:u w:val="single"/>
        </w:rPr>
        <w:t xml:space="preserve"> </w:t>
      </w:r>
      <w:r w:rsidRPr="00C853C3">
        <w:rPr>
          <w:b/>
          <w:u w:val="single"/>
        </w:rPr>
        <w:t>1</w:t>
      </w:r>
      <w:r w:rsidRPr="00C853C3">
        <w:t xml:space="preserve"> – Unanticipated changes to distribution equipment (e.g. equipment failures), forecasted load, and forecasted DER could reduce the integration capacity of individual circuits and require mitigation to prevent interconnection delays for new DER on those circuits.  Even if the CPUC adopts policies that favor proactive Grid Modernization based on DER growth forecasts, uncertainty in the DER and load forecasts will result in DER or load growth where it was not expected.  IOUs will be obliged to </w:t>
      </w:r>
      <w:r w:rsidR="00C65BBE" w:rsidRPr="00C853C3">
        <w:t xml:space="preserve">mitigate any adverse grid impacts that result to meet their responsibilities per PUC 451.  This use case requires accurate ICA values that are updated frequently, and </w:t>
      </w:r>
      <w:r w:rsidR="0070138E">
        <w:t>WG</w:t>
      </w:r>
      <w:r w:rsidR="00C65BBE" w:rsidRPr="00C853C3">
        <w:t xml:space="preserve"> members agree that it can be met using an ICA tailored to the interconnection use case.</w:t>
      </w:r>
    </w:p>
    <w:p w14:paraId="342C42D5" w14:textId="784F85A1" w:rsidR="00C65BBE" w:rsidRPr="00C853C3" w:rsidRDefault="00C65BBE" w:rsidP="008E7EC9">
      <w:r w:rsidRPr="00C853C3">
        <w:rPr>
          <w:b/>
          <w:u w:val="single"/>
        </w:rPr>
        <w:t xml:space="preserve">Planning Use Case </w:t>
      </w:r>
      <w:r w:rsidR="002C5C52">
        <w:rPr>
          <w:b/>
          <w:u w:val="single"/>
        </w:rPr>
        <w:t>Scenario-</w:t>
      </w:r>
      <w:r w:rsidRPr="00C853C3">
        <w:rPr>
          <w:b/>
          <w:u w:val="single"/>
        </w:rPr>
        <w:t>2</w:t>
      </w:r>
      <w:r w:rsidRPr="00C853C3">
        <w:t xml:space="preserve"> – </w:t>
      </w:r>
      <w:r w:rsidR="000C1B1B" w:rsidRPr="00C853C3">
        <w:t xml:space="preserve">This </w:t>
      </w:r>
      <w:r w:rsidR="007A6DF3">
        <w:t>scenario</w:t>
      </w:r>
      <w:r w:rsidR="000C1B1B" w:rsidRPr="00C853C3">
        <w:t xml:space="preserve"> arises from the same unanticipated changes as </w:t>
      </w:r>
      <w:r w:rsidR="00041AF0">
        <w:t xml:space="preserve">Scenario </w:t>
      </w:r>
      <w:r w:rsidR="000C1B1B" w:rsidRPr="00C853C3">
        <w:t>1 above</w:t>
      </w:r>
      <w:r w:rsidR="000B0997">
        <w:t xml:space="preserve">. </w:t>
      </w:r>
      <w:r w:rsidR="000C1B1B" w:rsidRPr="00C853C3">
        <w:t xml:space="preserve"> </w:t>
      </w:r>
      <w:r w:rsidR="000B0997">
        <w:t>H</w:t>
      </w:r>
      <w:r w:rsidR="000C1B1B" w:rsidRPr="00C853C3">
        <w:t xml:space="preserve">owever some situations may warrant additional data gathering and analysis rather than immediate capital investment for mitigation.  </w:t>
      </w:r>
      <w:r w:rsidR="00C9142A" w:rsidRPr="00C853C3">
        <w:t>ICA requirements</w:t>
      </w:r>
      <w:r w:rsidR="00C9142A">
        <w:t xml:space="preserve"> are the</w:t>
      </w:r>
      <w:r w:rsidR="00C9142A" w:rsidRPr="00C853C3">
        <w:t xml:space="preserve"> as the same as </w:t>
      </w:r>
      <w:r w:rsidR="00C9142A">
        <w:t>Scenario 1</w:t>
      </w:r>
      <w:r w:rsidR="00C9142A" w:rsidRPr="00C853C3">
        <w:t>.</w:t>
      </w:r>
    </w:p>
    <w:p w14:paraId="5672C00D" w14:textId="2A010CF2" w:rsidR="000C1B1B" w:rsidRPr="00C853C3" w:rsidRDefault="000C1B1B" w:rsidP="000C1B1B">
      <w:r w:rsidRPr="00C853C3">
        <w:rPr>
          <w:b/>
          <w:u w:val="single"/>
        </w:rPr>
        <w:t xml:space="preserve">Planning Use Case </w:t>
      </w:r>
      <w:r w:rsidR="002C5C52">
        <w:rPr>
          <w:b/>
          <w:u w:val="single"/>
        </w:rPr>
        <w:t>Scenario</w:t>
      </w:r>
      <w:r w:rsidR="007A6DF3">
        <w:rPr>
          <w:b/>
          <w:u w:val="single"/>
        </w:rPr>
        <w:t xml:space="preserve"> </w:t>
      </w:r>
      <w:r w:rsidR="004A0A3E" w:rsidRPr="00C853C3">
        <w:rPr>
          <w:b/>
          <w:u w:val="single"/>
        </w:rPr>
        <w:t>3</w:t>
      </w:r>
      <w:r w:rsidRPr="00C853C3">
        <w:t xml:space="preserve"> – Th</w:t>
      </w:r>
      <w:r w:rsidR="004A0A3E" w:rsidRPr="00C853C3">
        <w:t xml:space="preserve">e IOU description of this </w:t>
      </w:r>
      <w:r w:rsidR="007A6DF3">
        <w:t>scenario</w:t>
      </w:r>
      <w:r w:rsidR="004A0A3E" w:rsidRPr="00C853C3">
        <w:t xml:space="preserve"> is above, and detailed requirements are discussed in the following section.  WG members anticipate that additional definition of this </w:t>
      </w:r>
      <w:r w:rsidR="00D15223">
        <w:t>scenario</w:t>
      </w:r>
      <w:r w:rsidR="004A0A3E" w:rsidRPr="00C853C3">
        <w:t xml:space="preserve"> can be provided in the final ICA WG report based on the pending Track 3 decision regarding Growth Scenarios, Grid Modernization, and </w:t>
      </w:r>
      <w:r w:rsidR="000B0997">
        <w:t>D</w:t>
      </w:r>
      <w:r w:rsidR="004A0A3E" w:rsidRPr="00C853C3">
        <w:t xml:space="preserve">istribution </w:t>
      </w:r>
      <w:r w:rsidR="000B0997">
        <w:t>D</w:t>
      </w:r>
      <w:r w:rsidR="004A0A3E" w:rsidRPr="00C853C3">
        <w:t>eferral.</w:t>
      </w:r>
    </w:p>
    <w:p w14:paraId="445ADE53" w14:textId="3CC911ED" w:rsidR="00F823E5" w:rsidRPr="00C853C3" w:rsidRDefault="00F823E5" w:rsidP="00F823E5">
      <w:r w:rsidRPr="00C853C3">
        <w:rPr>
          <w:b/>
          <w:u w:val="single"/>
        </w:rPr>
        <w:lastRenderedPageBreak/>
        <w:t xml:space="preserve">Planning Use Case </w:t>
      </w:r>
      <w:r w:rsidR="002C5C52">
        <w:rPr>
          <w:b/>
          <w:u w:val="single"/>
        </w:rPr>
        <w:t>Scenario</w:t>
      </w:r>
      <w:r w:rsidR="007A6DF3">
        <w:rPr>
          <w:b/>
          <w:u w:val="single"/>
        </w:rPr>
        <w:t xml:space="preserve"> </w:t>
      </w:r>
      <w:r w:rsidRPr="00C853C3">
        <w:rPr>
          <w:b/>
          <w:u w:val="single"/>
        </w:rPr>
        <w:t>4</w:t>
      </w:r>
      <w:r w:rsidRPr="00C853C3">
        <w:t xml:space="preserve"> – This </w:t>
      </w:r>
      <w:r w:rsidR="00D15223">
        <w:t>scenario</w:t>
      </w:r>
      <w:r w:rsidRPr="00C853C3">
        <w:t xml:space="preserve"> arises from the same planning analyses as </w:t>
      </w:r>
      <w:r w:rsidR="00041AF0">
        <w:t xml:space="preserve">Scenario </w:t>
      </w:r>
      <w:r w:rsidRPr="00C853C3">
        <w:t>3 above</w:t>
      </w:r>
      <w:r w:rsidR="000B0997">
        <w:t xml:space="preserve">. </w:t>
      </w:r>
      <w:r w:rsidRPr="00C853C3">
        <w:t xml:space="preserve"> </w:t>
      </w:r>
      <w:r w:rsidR="000B0997">
        <w:t>H</w:t>
      </w:r>
      <w:r w:rsidRPr="00C853C3">
        <w:t>owever some situations may warrant additional data gathering and analysis rather than capital investment for mitigation.  ICA requirements</w:t>
      </w:r>
      <w:r w:rsidR="00041AF0">
        <w:t xml:space="preserve"> are the</w:t>
      </w:r>
      <w:r w:rsidRPr="00C853C3">
        <w:t xml:space="preserve"> as the same as </w:t>
      </w:r>
      <w:r w:rsidR="00041AF0">
        <w:t xml:space="preserve">Scenario </w:t>
      </w:r>
      <w:r w:rsidRPr="00C853C3">
        <w:t>3.</w:t>
      </w:r>
    </w:p>
    <w:p w14:paraId="4F80B710" w14:textId="037D708E" w:rsidR="00060F87" w:rsidRPr="00C853C3" w:rsidRDefault="00060F87" w:rsidP="00060F87">
      <w:r w:rsidRPr="00C853C3">
        <w:rPr>
          <w:b/>
          <w:u w:val="single"/>
        </w:rPr>
        <w:t xml:space="preserve">Planning Use Case </w:t>
      </w:r>
      <w:r w:rsidR="002C5C52">
        <w:rPr>
          <w:b/>
          <w:u w:val="single"/>
        </w:rPr>
        <w:t>Scenario</w:t>
      </w:r>
      <w:r w:rsidR="007A6DF3">
        <w:rPr>
          <w:b/>
          <w:u w:val="single"/>
        </w:rPr>
        <w:t xml:space="preserve"> </w:t>
      </w:r>
      <w:r w:rsidRPr="00C853C3">
        <w:rPr>
          <w:b/>
          <w:u w:val="single"/>
        </w:rPr>
        <w:t>5</w:t>
      </w:r>
      <w:r w:rsidRPr="00C853C3">
        <w:t xml:space="preserve"> – </w:t>
      </w:r>
      <w:r w:rsidR="002803ED" w:rsidRPr="00C853C3">
        <w:t>I</w:t>
      </w:r>
      <w:r w:rsidRPr="00C853C3">
        <w:t xml:space="preserve">t is likely that some grid investments will be system wide in nature, and justified based on DER.  The CPUC Staff </w:t>
      </w:r>
      <w:r w:rsidR="00B63A63" w:rsidRPr="00C853C3">
        <w:t xml:space="preserve">Grid Mod </w:t>
      </w:r>
      <w:r w:rsidRPr="00C853C3">
        <w:t xml:space="preserve">proposal included a schema that </w:t>
      </w:r>
      <w:r w:rsidR="00B63A63" w:rsidRPr="00C853C3">
        <w:t>used</w:t>
      </w:r>
      <w:r w:rsidRPr="00C853C3">
        <w:t xml:space="preserve"> ICA as </w:t>
      </w:r>
      <w:r w:rsidRPr="00C853C3">
        <w:rPr>
          <w:color w:val="000000" w:themeColor="text1"/>
        </w:rPr>
        <w:t xml:space="preserve">one </w:t>
      </w:r>
      <w:r w:rsidR="00B63A63" w:rsidRPr="00C853C3">
        <w:rPr>
          <w:color w:val="000000" w:themeColor="text1"/>
        </w:rPr>
        <w:t>metric to help prioritize specific investments.  ORA’s comments regarding the staff proposal posited that less accuracy is required for ICA in this application since “The only impact of an erroneous forecast is that one location would be enabled before another.”</w:t>
      </w:r>
      <w:r w:rsidR="00B63A63" w:rsidRPr="00C853C3">
        <w:rPr>
          <w:rStyle w:val="FootnoteReference"/>
          <w:color w:val="000000" w:themeColor="text1"/>
        </w:rPr>
        <w:footnoteReference w:id="4"/>
      </w:r>
      <w:r w:rsidR="004D0903" w:rsidRPr="00C853C3">
        <w:rPr>
          <w:color w:val="000000" w:themeColor="text1"/>
        </w:rPr>
        <w:t xml:space="preserve">  Detailed requirements for this </w:t>
      </w:r>
      <w:r w:rsidR="00D15223">
        <w:rPr>
          <w:color w:val="000000" w:themeColor="text1"/>
        </w:rPr>
        <w:t>scenario</w:t>
      </w:r>
      <w:r w:rsidR="004D0903" w:rsidRPr="00C853C3">
        <w:rPr>
          <w:color w:val="000000" w:themeColor="text1"/>
        </w:rPr>
        <w:t xml:space="preserve"> are provided below, but as with other </w:t>
      </w:r>
      <w:r w:rsidR="00D15223">
        <w:rPr>
          <w:color w:val="000000" w:themeColor="text1"/>
        </w:rPr>
        <w:t>scenarios</w:t>
      </w:r>
      <w:r w:rsidR="004D0903" w:rsidRPr="00C853C3">
        <w:rPr>
          <w:color w:val="000000" w:themeColor="text1"/>
        </w:rPr>
        <w:t xml:space="preserve"> above </w:t>
      </w:r>
      <w:r w:rsidR="004D0903" w:rsidRPr="00C853C3">
        <w:t xml:space="preserve">additional definition can be provided in the final ICA WG report based on the pending Track 3 decision regarding Growth Scenarios, Grid Modernization, and </w:t>
      </w:r>
      <w:r w:rsidR="00041AF0">
        <w:t>D</w:t>
      </w:r>
      <w:r w:rsidR="004D0903" w:rsidRPr="00C853C3">
        <w:t xml:space="preserve">istribution </w:t>
      </w:r>
      <w:r w:rsidR="00041AF0">
        <w:t>D</w:t>
      </w:r>
      <w:r w:rsidR="004D0903" w:rsidRPr="00C853C3">
        <w:t>eferral.</w:t>
      </w:r>
    </w:p>
    <w:p w14:paraId="3F12A521" w14:textId="4B5587B9" w:rsidR="00F823E5" w:rsidRPr="00C853C3" w:rsidRDefault="002803ED" w:rsidP="000C1B1B">
      <w:r w:rsidRPr="00C853C3">
        <w:rPr>
          <w:b/>
          <w:u w:val="single"/>
        </w:rPr>
        <w:t xml:space="preserve">Planning Use Case </w:t>
      </w:r>
      <w:r w:rsidR="007A6DF3">
        <w:rPr>
          <w:b/>
          <w:u w:val="single"/>
        </w:rPr>
        <w:t xml:space="preserve">Scenario </w:t>
      </w:r>
      <w:r w:rsidRPr="00C853C3">
        <w:rPr>
          <w:b/>
          <w:u w:val="single"/>
        </w:rPr>
        <w:t>6</w:t>
      </w:r>
      <w:r w:rsidRPr="00C853C3">
        <w:t xml:space="preserve"> –</w:t>
      </w:r>
      <w:r w:rsidR="008F1A4A" w:rsidRPr="00C853C3">
        <w:t xml:space="preserve"> </w:t>
      </w:r>
      <w:r w:rsidR="001261C4">
        <w:t xml:space="preserve">The tools developed in the DRP and IDER will allow stakeholders to </w:t>
      </w:r>
      <w:r w:rsidR="008F242F">
        <w:t>understand</w:t>
      </w:r>
      <w:r w:rsidR="001261C4">
        <w:t xml:space="preserve"> grid constraints and the relative </w:t>
      </w:r>
      <w:r w:rsidR="00BF5C07">
        <w:t xml:space="preserve">locational </w:t>
      </w:r>
      <w:r w:rsidR="001261C4">
        <w:t xml:space="preserve">values associated with addressing them. Numerous policy interventions may be proposed based on this information, including, but not limited to, incentives, rate changes, and tariffs. </w:t>
      </w:r>
      <w:r w:rsidR="001630D9">
        <w:t xml:space="preserve">In addition, the state will be </w:t>
      </w:r>
      <w:r w:rsidR="005909B6">
        <w:t>considering</w:t>
      </w:r>
      <w:r w:rsidR="001630D9">
        <w:t xml:space="preserve"> pathways for meeting state environmental and emissions goals, including in the IRP. </w:t>
      </w:r>
      <w:r w:rsidR="001261C4">
        <w:t xml:space="preserve">The ICA </w:t>
      </w:r>
      <w:r w:rsidR="002C5C52">
        <w:t xml:space="preserve">is an important tool that will enable exploration of the grid impacts and implications </w:t>
      </w:r>
      <w:r w:rsidR="001261C4">
        <w:t xml:space="preserve">of </w:t>
      </w:r>
      <w:r w:rsidR="002C5C52">
        <w:t xml:space="preserve">these </w:t>
      </w:r>
      <w:r w:rsidR="008E475B">
        <w:t xml:space="preserve">numerous </w:t>
      </w:r>
      <w:r w:rsidR="001261C4">
        <w:t>potential interventions.</w:t>
      </w:r>
      <w:r w:rsidR="00920BDE">
        <w:t xml:space="preserve"> </w:t>
      </w:r>
      <w:r w:rsidR="007A6DF3">
        <w:t>The ICA, alone</w:t>
      </w:r>
      <w:r w:rsidR="00041AF0">
        <w:t>,</w:t>
      </w:r>
      <w:r w:rsidR="007A6DF3">
        <w:t xml:space="preserve"> or potentially in combination with growth scenarios and the LNBA</w:t>
      </w:r>
      <w:r w:rsidR="00041AF0">
        <w:t>,</w:t>
      </w:r>
      <w:r w:rsidR="007A6DF3">
        <w:t xml:space="preserve"> should enable grid operators and stakeholders to</w:t>
      </w:r>
      <w:r w:rsidR="009B59A2">
        <w:t xml:space="preserve"> see</w:t>
      </w:r>
      <w:r w:rsidR="007A6DF3">
        <w:t xml:space="preserve"> </w:t>
      </w:r>
      <w:r w:rsidR="00CA2BE7">
        <w:t xml:space="preserve">how policy changes may effect specific locations of the grid </w:t>
      </w:r>
      <w:r w:rsidR="007A6DF3">
        <w:t xml:space="preserve">(such as, for example, a TOU rate specific for storage customers).  This information can then be used to guide both policy making and planning decisions about grid investments.  </w:t>
      </w:r>
      <w:r w:rsidR="00920BDE">
        <w:t xml:space="preserve">This use </w:t>
      </w:r>
      <w:r w:rsidR="007A6DF3">
        <w:t>will require</w:t>
      </w:r>
      <w:r w:rsidR="00920BDE">
        <w:t xml:space="preserve"> flexibility to consider multiple scenarios</w:t>
      </w:r>
      <w:r w:rsidR="007A6DF3">
        <w:t>, both in a grid-wide and site-specific manner</w:t>
      </w:r>
      <w:r w:rsidR="00D15223">
        <w:t xml:space="preserve"> and the potential to run layered scenarios</w:t>
      </w:r>
      <w:r w:rsidR="00920BDE">
        <w:t>.</w:t>
      </w:r>
    </w:p>
    <w:p w14:paraId="504596AF" w14:textId="35117146" w:rsidR="008E7EC9" w:rsidRPr="00C853C3" w:rsidRDefault="00CA2BE7" w:rsidP="00461327">
      <w:pPr>
        <w:spacing w:after="0"/>
      </w:pPr>
      <w:r w:rsidRPr="00C853C3" w:rsidDel="00CA2BE7">
        <w:rPr>
          <w:b/>
        </w:rPr>
        <w:t xml:space="preserve"> </w:t>
      </w:r>
    </w:p>
    <w:p w14:paraId="3AAD5A41" w14:textId="6A0E4531" w:rsidR="00041025" w:rsidRPr="00C853C3" w:rsidRDefault="005E0904" w:rsidP="00461327">
      <w:pPr>
        <w:pStyle w:val="Heading1"/>
        <w:spacing w:before="0"/>
      </w:pPr>
      <w:r w:rsidRPr="00C853C3">
        <w:t xml:space="preserve">Technical </w:t>
      </w:r>
      <w:r w:rsidR="002803ED" w:rsidRPr="00C853C3">
        <w:t>Requirements for Planning Use Cases</w:t>
      </w:r>
    </w:p>
    <w:p w14:paraId="55FC1D6B" w14:textId="1AF94C02" w:rsidR="00CD3F1D" w:rsidRPr="00C853C3" w:rsidRDefault="00CD3F1D" w:rsidP="00CD3F1D">
      <w:r w:rsidRPr="00C853C3">
        <w:t xml:space="preserve">It is important to acknowledge that ICA is intended to </w:t>
      </w:r>
      <w:r w:rsidR="002803ED" w:rsidRPr="00C853C3">
        <w:t xml:space="preserve">inform both the location of </w:t>
      </w:r>
      <w:r w:rsidRPr="00C853C3">
        <w:t>deficiencies in the grid to integrate DER</w:t>
      </w:r>
      <w:r w:rsidR="002803ED" w:rsidRPr="00C853C3">
        <w:t xml:space="preserve"> and the types of potential </w:t>
      </w:r>
      <w:r w:rsidRPr="00C853C3">
        <w:t xml:space="preserve">solutions. ICA can be useful to help identify locations and timing of deficiencies, but further review and engineering is required to determine the solutions to mitigate. </w:t>
      </w:r>
      <w:r w:rsidR="002803ED" w:rsidRPr="00C853C3">
        <w:t xml:space="preserve">ICA also provides </w:t>
      </w:r>
      <w:r w:rsidR="00BE78E1" w:rsidRPr="00C853C3">
        <w:t xml:space="preserve">the type of deficiency (e.g. thermal, voltage, protection, </w:t>
      </w:r>
      <w:r w:rsidR="00CA2BE7">
        <w:t xml:space="preserve">and </w:t>
      </w:r>
      <w:r w:rsidR="00BE78E1" w:rsidRPr="00C853C3">
        <w:t>OpFlex) for each location which can help define</w:t>
      </w:r>
      <w:r w:rsidR="002803ED" w:rsidRPr="00C853C3">
        <w:t xml:space="preserve"> the types of potential mitigations</w:t>
      </w:r>
      <w:r w:rsidR="002A18A2" w:rsidRPr="00C853C3">
        <w:t>.</w:t>
      </w:r>
      <w:r w:rsidR="002803ED" w:rsidRPr="00C853C3">
        <w:t xml:space="preserve"> </w:t>
      </w:r>
      <w:r w:rsidRPr="00C853C3">
        <w:t>The hosting capacity upgrade would also have to be coordinated with the normal planning efforts to not duplicate any work already being proposed.</w:t>
      </w:r>
      <w:r w:rsidR="002A18A2" w:rsidRPr="00C853C3">
        <w:t xml:space="preserve">  </w:t>
      </w:r>
      <w:r w:rsidR="00FD5745">
        <w:t xml:space="preserve">Technical requirements driven by the planning use case scenarios are listed below with preliminary discussion from the non-IOU </w:t>
      </w:r>
      <w:r w:rsidR="00C9142A">
        <w:t>parties.</w:t>
      </w:r>
      <w:r w:rsidR="002D4B0C" w:rsidRPr="00C853C3">
        <w:rPr>
          <w:rStyle w:val="FootnoteReference"/>
        </w:rPr>
        <w:footnoteReference w:id="5"/>
      </w:r>
    </w:p>
    <w:p w14:paraId="5206F2B7" w14:textId="03F3FC5F" w:rsidR="00637DAA" w:rsidRPr="00C853C3" w:rsidRDefault="00637DAA" w:rsidP="005D3F6F">
      <w:pPr>
        <w:spacing w:after="0"/>
        <w:rPr>
          <w:b/>
        </w:rPr>
      </w:pPr>
      <w:r w:rsidRPr="00C853C3">
        <w:rPr>
          <w:b/>
        </w:rPr>
        <w:t>Engineering Assumptions</w:t>
      </w:r>
    </w:p>
    <w:p w14:paraId="2D70CE34" w14:textId="71942F10" w:rsidR="00637DAA" w:rsidRPr="00C853C3" w:rsidRDefault="00637DAA" w:rsidP="005D3F6F">
      <w:pPr>
        <w:spacing w:after="0"/>
      </w:pPr>
      <w:r w:rsidRPr="00C853C3">
        <w:t xml:space="preserve">ICA involves a number of engineering assumptions including specific thresholds for each ICA criteria, pre-existing conditions, and status of LTCs.  </w:t>
      </w:r>
      <w:r w:rsidR="009B5DC3" w:rsidRPr="00C853C3">
        <w:t xml:space="preserve">Methods to increase computational efficiency were also </w:t>
      </w:r>
      <w:r w:rsidR="009B5DC3" w:rsidRPr="00C853C3">
        <w:lastRenderedPageBreak/>
        <w:t xml:space="preserve">recommended by the ICA in its March 2017 Report.   </w:t>
      </w:r>
      <w:r w:rsidRPr="00C853C3">
        <w:t xml:space="preserve">Given the overarching goal of having a common methodology, the WG determined there is no need to use any different assumptions for </w:t>
      </w:r>
      <w:r w:rsidR="005E3DED">
        <w:t xml:space="preserve">the </w:t>
      </w:r>
      <w:r w:rsidRPr="00C853C3">
        <w:t>planning use. (Need to verify with IOUs)</w:t>
      </w:r>
    </w:p>
    <w:p w14:paraId="284C5941" w14:textId="77777777" w:rsidR="00637DAA" w:rsidRPr="00C853C3" w:rsidRDefault="00637DAA" w:rsidP="005D3F6F">
      <w:pPr>
        <w:spacing w:after="0"/>
      </w:pPr>
    </w:p>
    <w:p w14:paraId="541D627B" w14:textId="77777777" w:rsidR="00340188" w:rsidRPr="00C853C3" w:rsidRDefault="00340188" w:rsidP="005D3F6F">
      <w:pPr>
        <w:spacing w:after="0"/>
        <w:rPr>
          <w:b/>
        </w:rPr>
      </w:pPr>
      <w:r w:rsidRPr="00C853C3">
        <w:rPr>
          <w:b/>
        </w:rPr>
        <w:t>Accuracy</w:t>
      </w:r>
    </w:p>
    <w:p w14:paraId="4E17CEC7" w14:textId="3A47F852" w:rsidR="00340188" w:rsidRPr="00C853C3" w:rsidRDefault="00340188" w:rsidP="005D3F6F">
      <w:pPr>
        <w:spacing w:after="0"/>
      </w:pPr>
      <w:r w:rsidRPr="00C853C3">
        <w:t xml:space="preserve">The required ICA accuracy depends on the planning use case.  For </w:t>
      </w:r>
      <w:r w:rsidR="005E3DED">
        <w:t>Scenario</w:t>
      </w:r>
      <w:r w:rsidR="005E3DED" w:rsidRPr="00C853C3">
        <w:t xml:space="preserve"> </w:t>
      </w:r>
      <w:r w:rsidRPr="00C853C3">
        <w:t>5</w:t>
      </w:r>
      <w:r w:rsidR="005E3DED">
        <w:t xml:space="preserve"> and 6</w:t>
      </w:r>
      <w:r w:rsidRPr="00C853C3">
        <w:t xml:space="preserve">, </w:t>
      </w:r>
      <w:r w:rsidR="005E3DED">
        <w:t xml:space="preserve">granular </w:t>
      </w:r>
      <w:r w:rsidRPr="00C853C3">
        <w:t>accuracy</w:t>
      </w:r>
      <w:r w:rsidR="005E3DED">
        <w:t xml:space="preserve"> by line-section</w:t>
      </w:r>
      <w:r w:rsidRPr="00C853C3">
        <w:t xml:space="preserve"> is not critical</w:t>
      </w:r>
      <w:r w:rsidR="009B59A2">
        <w:t>,</w:t>
      </w:r>
      <w:r w:rsidR="005E3DED">
        <w:t xml:space="preserve"> as</w:t>
      </w:r>
      <w:r w:rsidRPr="00C853C3">
        <w:t xml:space="preserve"> </w:t>
      </w:r>
      <w:r w:rsidR="005E3DED">
        <w:t xml:space="preserve">the </w:t>
      </w:r>
      <w:r w:rsidRPr="00C853C3">
        <w:t xml:space="preserve">ICA is only proposed to prioritize investments as previously discussed.  For </w:t>
      </w:r>
      <w:r w:rsidR="005E3DED">
        <w:t>Scenario</w:t>
      </w:r>
      <w:r w:rsidRPr="00C853C3">
        <w:t xml:space="preserve"> 3, ICA accuracy is of paramount importance because it will be used to justify in targeted investments to increase localized hosting capacity.  However, the accuracy of DER forecasts becomes increasingly uncertain </w:t>
      </w:r>
      <w:r w:rsidR="00764135" w:rsidRPr="00C853C3">
        <w:t>as the analysis increases in spatial resolution so there is currently a clear tension between accuracy and spatial resolution where DER forecasts are involved.  This is discussed more in the DER section below and is currently an unresolved issue.</w:t>
      </w:r>
    </w:p>
    <w:p w14:paraId="115F534F" w14:textId="77777777" w:rsidR="00340188" w:rsidRPr="00C853C3" w:rsidRDefault="00340188" w:rsidP="005D3F6F">
      <w:pPr>
        <w:spacing w:after="0"/>
      </w:pPr>
    </w:p>
    <w:p w14:paraId="669C4521" w14:textId="42256DAD" w:rsidR="00CD3F1D" w:rsidRPr="00C853C3" w:rsidRDefault="002D4B0C" w:rsidP="005D3F6F">
      <w:pPr>
        <w:spacing w:after="0"/>
        <w:rPr>
          <w:b/>
        </w:rPr>
      </w:pPr>
      <w:r w:rsidRPr="00C853C3">
        <w:rPr>
          <w:b/>
        </w:rPr>
        <w:t>Frequency of Update</w:t>
      </w:r>
    </w:p>
    <w:p w14:paraId="2D0A53F0" w14:textId="5560617F" w:rsidR="002D4B0C" w:rsidRPr="00C853C3" w:rsidRDefault="002D4B0C" w:rsidP="005D3F6F">
      <w:pPr>
        <w:spacing w:after="0"/>
      </w:pPr>
      <w:r w:rsidRPr="00C853C3">
        <w:t xml:space="preserve">Planning </w:t>
      </w:r>
      <w:r w:rsidR="00A92E5F">
        <w:t>scenarios</w:t>
      </w:r>
      <w:r w:rsidRPr="00C853C3">
        <w:t xml:space="preserve"> generally require </w:t>
      </w:r>
      <w:r w:rsidR="00E56585" w:rsidRPr="00C853C3">
        <w:t>annual</w:t>
      </w:r>
      <w:r w:rsidRPr="00C853C3">
        <w:t xml:space="preserve"> </w:t>
      </w:r>
      <w:r w:rsidR="00E56585" w:rsidRPr="00C853C3">
        <w:t>or less frequent updates</w:t>
      </w:r>
      <w:r w:rsidRPr="00C853C3">
        <w:t>.</w:t>
      </w:r>
      <w:r w:rsidR="00E56585" w:rsidRPr="00C853C3">
        <w:rPr>
          <w:rStyle w:val="FootnoteReference"/>
        </w:rPr>
        <w:footnoteReference w:id="6"/>
      </w:r>
      <w:r w:rsidRPr="00C853C3">
        <w:t xml:space="preserve">  </w:t>
      </w:r>
      <w:r w:rsidR="00A92E5F">
        <w:t>Scenario</w:t>
      </w:r>
      <w:r w:rsidR="00A92E5F" w:rsidRPr="00C853C3">
        <w:t xml:space="preserve"> </w:t>
      </w:r>
      <w:r w:rsidR="00E56585" w:rsidRPr="00C853C3">
        <w:t xml:space="preserve">2, 4, and 5 require updates annually in advance of the annual distribution planning process, and potentially the Grid Needs Assessment (GNA) based on the Track 3 decision.  Analysis would be performed after the load forecasting process has been completed and before final distribution analysis is performed. </w:t>
      </w:r>
      <w:r w:rsidR="008F1A4A" w:rsidRPr="00C853C3">
        <w:t xml:space="preserve"> </w:t>
      </w:r>
      <w:r w:rsidR="00A92E5F">
        <w:t xml:space="preserve">Scenario 6 would likely be run on an as-needed basis. </w:t>
      </w:r>
    </w:p>
    <w:p w14:paraId="2A62DACE" w14:textId="5CCC340F" w:rsidR="00637DAA" w:rsidRPr="00C853C3" w:rsidRDefault="00637DAA" w:rsidP="005D3F6F">
      <w:pPr>
        <w:spacing w:after="0"/>
      </w:pPr>
    </w:p>
    <w:p w14:paraId="33E851D8" w14:textId="60BDAAE7" w:rsidR="008F1A4A" w:rsidRPr="00C853C3" w:rsidRDefault="008F1A4A" w:rsidP="005D3F6F">
      <w:pPr>
        <w:spacing w:after="0"/>
        <w:rPr>
          <w:b/>
        </w:rPr>
      </w:pPr>
      <w:r w:rsidRPr="00C853C3">
        <w:rPr>
          <w:b/>
        </w:rPr>
        <w:t>Temporal Resolution</w:t>
      </w:r>
    </w:p>
    <w:p w14:paraId="7298889C" w14:textId="794B9233" w:rsidR="008F1A4A" w:rsidRPr="00C853C3" w:rsidRDefault="0024636C" w:rsidP="005D3F6F">
      <w:pPr>
        <w:spacing w:after="0"/>
      </w:pPr>
      <w:r w:rsidRPr="00C853C3">
        <w:t>In the March 2017 report, t</w:t>
      </w:r>
      <w:r w:rsidR="009B5DC3" w:rsidRPr="00C853C3">
        <w:t>he WG agreed that a 576 hour profile</w:t>
      </w:r>
      <w:r w:rsidRPr="00C853C3">
        <w:t>,</w:t>
      </w:r>
      <w:r w:rsidR="009B5DC3" w:rsidRPr="00C853C3">
        <w:t xml:space="preserve"> </w:t>
      </w:r>
      <w:r w:rsidRPr="00C853C3">
        <w:t xml:space="preserve">based in part on computational efficiency, </w:t>
      </w:r>
      <w:r w:rsidR="009B5DC3" w:rsidRPr="00C853C3">
        <w:t>should be used for the initial statewide ICA roll out, but expressed that “a more granular hourly profile may be needed and justified.</w:t>
      </w:r>
      <w:r w:rsidR="009B5DC3" w:rsidRPr="00C853C3">
        <w:rPr>
          <w:rStyle w:val="FootnoteReference"/>
        </w:rPr>
        <w:footnoteReference w:id="7"/>
      </w:r>
    </w:p>
    <w:p w14:paraId="3FD1AE24" w14:textId="77777777" w:rsidR="0024636C" w:rsidRPr="00C853C3" w:rsidRDefault="0024636C" w:rsidP="005D3F6F">
      <w:pPr>
        <w:spacing w:after="0"/>
      </w:pPr>
    </w:p>
    <w:p w14:paraId="3E6199C0" w14:textId="4E339421" w:rsidR="0024636C" w:rsidRPr="00C853C3" w:rsidRDefault="0024636C" w:rsidP="005D3F6F">
      <w:pPr>
        <w:spacing w:after="0"/>
        <w:rPr>
          <w:b/>
        </w:rPr>
      </w:pPr>
      <w:r w:rsidRPr="00C853C3">
        <w:rPr>
          <w:b/>
        </w:rPr>
        <w:t>Spatial Resolution</w:t>
      </w:r>
    </w:p>
    <w:p w14:paraId="4F5CE33D" w14:textId="2B162405" w:rsidR="0024636C" w:rsidRPr="00C853C3" w:rsidRDefault="0024636C" w:rsidP="005D3F6F">
      <w:pPr>
        <w:spacing w:after="0"/>
      </w:pPr>
      <w:r w:rsidRPr="00C853C3">
        <w:t xml:space="preserve">For </w:t>
      </w:r>
      <w:r w:rsidR="00A92E5F">
        <w:t>the</w:t>
      </w:r>
      <w:r w:rsidRPr="00C853C3">
        <w:t xml:space="preserve"> interconnection use case, ICA values will generally be calculated at each circuit node.  However, In the March 2017 </w:t>
      </w:r>
      <w:r w:rsidR="0039270A">
        <w:t>R</w:t>
      </w:r>
      <w:r w:rsidRPr="00C853C3">
        <w:t xml:space="preserve">eport, the WG agreed to limit the number of nodes analyzed based on computational efficiency for the initial statewide ICA </w:t>
      </w:r>
      <w:r w:rsidR="002759EA" w:rsidRPr="00C853C3">
        <w:t>roll</w:t>
      </w:r>
      <w:r w:rsidRPr="00C853C3">
        <w:t>out.</w:t>
      </w:r>
      <w:r w:rsidRPr="00C853C3">
        <w:rPr>
          <w:rStyle w:val="FootnoteReference"/>
        </w:rPr>
        <w:footnoteReference w:id="8"/>
      </w:r>
      <w:r w:rsidRPr="00C853C3">
        <w:t xml:space="preserve">  </w:t>
      </w:r>
      <w:r w:rsidR="002759EA" w:rsidRPr="00C853C3">
        <w:t xml:space="preserve">It is likely less spatial resolution will be required for planning.  For </w:t>
      </w:r>
      <w:r w:rsidR="00A92E5F">
        <w:t>Scenario</w:t>
      </w:r>
      <w:r w:rsidR="00A92E5F" w:rsidRPr="00C853C3">
        <w:t xml:space="preserve"> </w:t>
      </w:r>
      <w:r w:rsidR="002759EA" w:rsidRPr="00C853C3">
        <w:t xml:space="preserve">5, system-wide Grid Modernization upgrades would only be </w:t>
      </w:r>
      <w:r w:rsidR="002759EA" w:rsidRPr="00C853C3">
        <w:rPr>
          <w:i/>
        </w:rPr>
        <w:t>prioritized</w:t>
      </w:r>
      <w:r w:rsidR="002759EA" w:rsidRPr="00C853C3">
        <w:t xml:space="preserve"> based on ICA, and should be sufficient to target entire circuits for upgrades rather than specific nodes.  </w:t>
      </w:r>
      <w:r w:rsidRPr="00C853C3">
        <w:t xml:space="preserve">For planning </w:t>
      </w:r>
      <w:r w:rsidR="00A92E5F">
        <w:t>Scenario</w:t>
      </w:r>
      <w:r w:rsidR="00A92E5F" w:rsidRPr="00C853C3">
        <w:t xml:space="preserve"> </w:t>
      </w:r>
      <w:r w:rsidRPr="00C853C3">
        <w:t xml:space="preserve">3, </w:t>
      </w:r>
      <w:r w:rsidR="002759EA" w:rsidRPr="00C853C3">
        <w:t xml:space="preserve">there is currently significant uncertainty in DER forecasts more granular than for specific feeders that limits the accuracy of </w:t>
      </w:r>
      <w:r w:rsidR="002759EA" w:rsidRPr="00C853C3">
        <w:rPr>
          <w:i/>
          <w:u w:val="single"/>
        </w:rPr>
        <w:t>forecast</w:t>
      </w:r>
      <w:r w:rsidR="002759EA" w:rsidRPr="00C853C3">
        <w:t xml:space="preserve"> nodal ICA values.  This is discussed in the DER forecast section below.  While this remains an open topic, the WG initially recommends that ICA values should only be calculated </w:t>
      </w:r>
      <w:r w:rsidR="006C3F36" w:rsidRPr="00C853C3">
        <w:t>at a locational granularity that is supported by a reasonably accurate DER forecast.</w:t>
      </w:r>
    </w:p>
    <w:p w14:paraId="535DF126" w14:textId="77777777" w:rsidR="0024636C" w:rsidRPr="00C853C3" w:rsidRDefault="0024636C" w:rsidP="005D3F6F">
      <w:pPr>
        <w:spacing w:after="0"/>
      </w:pPr>
    </w:p>
    <w:p w14:paraId="2F4DB034" w14:textId="1A47776F" w:rsidR="00CD3F1D" w:rsidRPr="00C853C3" w:rsidRDefault="00C50AEE" w:rsidP="005D3F6F">
      <w:pPr>
        <w:spacing w:after="0"/>
        <w:rPr>
          <w:b/>
        </w:rPr>
      </w:pPr>
      <w:r w:rsidRPr="00C853C3">
        <w:rPr>
          <w:b/>
        </w:rPr>
        <w:t>Spatial Modeling of DER</w:t>
      </w:r>
    </w:p>
    <w:p w14:paraId="5BAAD322" w14:textId="524C042A" w:rsidR="00CD3F1D" w:rsidRPr="00C853C3" w:rsidRDefault="00CD3F1D" w:rsidP="005D3F6F">
      <w:pPr>
        <w:spacing w:after="0"/>
      </w:pPr>
      <w:r w:rsidRPr="00C853C3">
        <w:t xml:space="preserve">The California ICA </w:t>
      </w:r>
      <w:r w:rsidR="0070138E">
        <w:t>WG</w:t>
      </w:r>
      <w:r w:rsidRPr="00C853C3">
        <w:t xml:space="preserve"> and methodology has thus far been focused on the interconnection use case which isolates analysis to single interconnections</w:t>
      </w:r>
      <w:r w:rsidR="0039270A">
        <w:t xml:space="preserve"> while only</w:t>
      </w:r>
      <w:r w:rsidR="000430B0" w:rsidRPr="00C853C3">
        <w:t xml:space="preserve"> considering the impacts of single DER placement on a circuit. In the planning context, it is important to understand the broader impact of </w:t>
      </w:r>
      <w:r w:rsidR="000430B0" w:rsidRPr="00C853C3">
        <w:lastRenderedPageBreak/>
        <w:t>multiple generators and what the combined aggregate effect would be</w:t>
      </w:r>
      <w:r w:rsidR="00CD5620" w:rsidRPr="00C853C3">
        <w:t xml:space="preserve"> over a longer time frame</w:t>
      </w:r>
      <w:r w:rsidR="000430B0" w:rsidRPr="00C853C3">
        <w:t xml:space="preserve">. As ICA progresses, it is important that the components of the tool be able to consider a dispersion of smaller DER throughout the circuit. </w:t>
      </w:r>
      <w:r w:rsidR="00C50AEE" w:rsidRPr="00C853C3">
        <w:t xml:space="preserve">The iterative and streamlined methods discussed </w:t>
      </w:r>
      <w:r w:rsidR="0039270A" w:rsidRPr="00C853C3">
        <w:t xml:space="preserve">by the WG </w:t>
      </w:r>
      <w:r w:rsidR="00C50AEE" w:rsidRPr="00C853C3">
        <w:t>to date only provide for single DER placements.</w:t>
      </w:r>
      <w:r w:rsidR="00C50AEE" w:rsidRPr="00C853C3">
        <w:rPr>
          <w:rStyle w:val="FootnoteReference"/>
        </w:rPr>
        <w:footnoteReference w:id="9"/>
      </w:r>
      <w:r w:rsidR="00C50AEE" w:rsidRPr="00C853C3">
        <w:t xml:space="preserve">  </w:t>
      </w:r>
      <w:r w:rsidR="001B7DF0">
        <w:t>Other</w:t>
      </w:r>
      <w:r w:rsidR="001B7DF0" w:rsidRPr="00C853C3">
        <w:t xml:space="preserve"> </w:t>
      </w:r>
      <w:r w:rsidR="000430B0" w:rsidRPr="00C853C3">
        <w:t xml:space="preserve">tools have </w:t>
      </w:r>
      <w:r w:rsidR="001B7DF0">
        <w:t xml:space="preserve">been </w:t>
      </w:r>
      <w:r w:rsidR="000430B0" w:rsidRPr="00C853C3">
        <w:t xml:space="preserve">developed to include analysis of this dispersion and the </w:t>
      </w:r>
      <w:r w:rsidR="00D72BFC">
        <w:t>WG</w:t>
      </w:r>
      <w:r w:rsidR="000430B0" w:rsidRPr="00C853C3">
        <w:t xml:space="preserve"> should research and explore the incorporation of these techniques in order to proper</w:t>
      </w:r>
      <w:r w:rsidR="00CD5620" w:rsidRPr="00C853C3">
        <w:t>ly</w:t>
      </w:r>
      <w:r w:rsidR="000430B0" w:rsidRPr="00C853C3">
        <w:t xml:space="preserve"> consider DER for the planning context.</w:t>
      </w:r>
    </w:p>
    <w:p w14:paraId="6D739007" w14:textId="77777777" w:rsidR="002759EA" w:rsidRPr="00C853C3" w:rsidRDefault="002759EA" w:rsidP="005D3F6F">
      <w:pPr>
        <w:spacing w:after="0"/>
        <w:rPr>
          <w:b/>
        </w:rPr>
      </w:pPr>
    </w:p>
    <w:p w14:paraId="0AC7FC52" w14:textId="2F6A9D67" w:rsidR="000430B0" w:rsidRPr="00C853C3" w:rsidRDefault="000430B0" w:rsidP="005D3F6F">
      <w:pPr>
        <w:spacing w:after="0"/>
        <w:rPr>
          <w:b/>
        </w:rPr>
      </w:pPr>
      <w:r w:rsidRPr="00C853C3">
        <w:rPr>
          <w:b/>
        </w:rPr>
        <w:t>Using the DER Growth in the Analysis</w:t>
      </w:r>
    </w:p>
    <w:p w14:paraId="44941529" w14:textId="58145EF7" w:rsidR="00637DAA" w:rsidRPr="00C853C3" w:rsidRDefault="00AC48BA" w:rsidP="00637DAA">
      <w:pPr>
        <w:spacing w:after="0"/>
      </w:pPr>
      <w:r w:rsidRPr="00C853C3">
        <w:t xml:space="preserve">Most planning </w:t>
      </w:r>
      <w:r w:rsidR="001B7DF0">
        <w:t>scenarios</w:t>
      </w:r>
      <w:r w:rsidRPr="00C853C3">
        <w:t xml:space="preserve"> involve estimates of the future condition of the grid, loads, and DER, and how they impact hosti</w:t>
      </w:r>
      <w:r w:rsidR="00036DD6">
        <w:t>ng capacity.   The IOUs believe</w:t>
      </w:r>
      <w:r w:rsidR="00637DAA" w:rsidRPr="00C853C3">
        <w:t xml:space="preserve"> </w:t>
      </w:r>
      <w:r w:rsidRPr="00C853C3">
        <w:t>that thi</w:t>
      </w:r>
      <w:r w:rsidR="00036DD6">
        <w:t>s forecasts should</w:t>
      </w:r>
      <w:r w:rsidR="00637DAA" w:rsidRPr="00C853C3">
        <w:t xml:space="preserve"> be done in </w:t>
      </w:r>
      <w:r w:rsidRPr="00C853C3">
        <w:t>a 1 to 5 year planning horizon, as a</w:t>
      </w:r>
      <w:r w:rsidR="00637DAA" w:rsidRPr="00C853C3">
        <w:t>nything past 5 years on the distribution circuits is not as precise unless you are looking are larger scale impacts at the substation.</w:t>
      </w:r>
    </w:p>
    <w:p w14:paraId="5B43A947" w14:textId="77777777" w:rsidR="00637DAA" w:rsidRPr="00C853C3" w:rsidRDefault="00637DAA" w:rsidP="005D3F6F">
      <w:pPr>
        <w:spacing w:after="0"/>
        <w:rPr>
          <w:b/>
        </w:rPr>
      </w:pPr>
    </w:p>
    <w:p w14:paraId="478AB5BB" w14:textId="1F521D42" w:rsidR="000430B0" w:rsidRPr="00C853C3" w:rsidRDefault="000430B0" w:rsidP="005D3F6F">
      <w:pPr>
        <w:spacing w:after="0"/>
      </w:pPr>
      <w:r w:rsidRPr="00C853C3">
        <w:t xml:space="preserve">One challenging fact is that the utilities </w:t>
      </w:r>
      <w:r w:rsidR="00D72BFC">
        <w:t>cannot</w:t>
      </w:r>
      <w:r w:rsidR="00D72BFC" w:rsidRPr="00C853C3">
        <w:t xml:space="preserve"> </w:t>
      </w:r>
      <w:r w:rsidRPr="00C853C3">
        <w:t xml:space="preserve">forecast growth to the nodal precision of the models with proper accuracy. </w:t>
      </w:r>
      <w:r w:rsidR="00D72BFC">
        <w:t>At maximum,</w:t>
      </w:r>
      <w:r w:rsidRPr="00C853C3">
        <w:t xml:space="preserve"> growth factor</w:t>
      </w:r>
      <w:r w:rsidR="00D72BFC">
        <w:t xml:space="preserve"> forecasts</w:t>
      </w:r>
      <w:r w:rsidRPr="00C853C3">
        <w:t xml:space="preserve"> </w:t>
      </w:r>
      <w:r w:rsidR="00D72BFC">
        <w:t xml:space="preserve">will only be </w:t>
      </w:r>
      <w:r w:rsidRPr="00C853C3">
        <w:t>granular down t</w:t>
      </w:r>
      <w:r w:rsidR="0084747E" w:rsidRPr="00C853C3">
        <w:t xml:space="preserve">o the feeder </w:t>
      </w:r>
      <w:r w:rsidR="00D72BFC">
        <w:t>level</w:t>
      </w:r>
      <w:r w:rsidR="0084747E" w:rsidRPr="00C853C3">
        <w:t>. The IOUs must then determine how feeder level growths are to be considered in a nodal level analysis. Two general ways of inclusion have been identified which are:</w:t>
      </w:r>
    </w:p>
    <w:p w14:paraId="788B13E5" w14:textId="7600B17C" w:rsidR="0084747E" w:rsidRPr="00C853C3" w:rsidRDefault="0084747E" w:rsidP="005D3F6F">
      <w:pPr>
        <w:pStyle w:val="ListParagraph"/>
        <w:numPr>
          <w:ilvl w:val="0"/>
          <w:numId w:val="7"/>
        </w:numPr>
        <w:spacing w:after="0"/>
        <w:contextualSpacing w:val="0"/>
      </w:pPr>
      <w:r w:rsidRPr="00C853C3">
        <w:t>Pre-Analysis Modeling</w:t>
      </w:r>
    </w:p>
    <w:p w14:paraId="6A52652F" w14:textId="0157B3AE" w:rsidR="0084747E" w:rsidRPr="00C853C3" w:rsidRDefault="0084747E" w:rsidP="005D3F6F">
      <w:pPr>
        <w:pStyle w:val="ListParagraph"/>
        <w:numPr>
          <w:ilvl w:val="0"/>
          <w:numId w:val="7"/>
        </w:numPr>
        <w:spacing w:after="0"/>
        <w:contextualSpacing w:val="0"/>
      </w:pPr>
      <w:r w:rsidRPr="00C853C3">
        <w:t>Post-Analysis Comparison</w:t>
      </w:r>
    </w:p>
    <w:p w14:paraId="0AA3A5A6" w14:textId="10C22DE0" w:rsidR="00203B3B" w:rsidRPr="00C853C3" w:rsidRDefault="00203B3B" w:rsidP="005D3F6F">
      <w:pPr>
        <w:pStyle w:val="ListParagraph"/>
        <w:numPr>
          <w:ilvl w:val="1"/>
          <w:numId w:val="7"/>
        </w:numPr>
        <w:spacing w:after="0"/>
        <w:contextualSpacing w:val="0"/>
      </w:pPr>
      <w:r w:rsidRPr="00C853C3">
        <w:t>Based on single DER ICA</w:t>
      </w:r>
    </w:p>
    <w:p w14:paraId="31C64892" w14:textId="2384B572" w:rsidR="00203B3B" w:rsidRPr="00C853C3" w:rsidRDefault="00203B3B" w:rsidP="005D3F6F">
      <w:pPr>
        <w:pStyle w:val="ListParagraph"/>
        <w:numPr>
          <w:ilvl w:val="1"/>
          <w:numId w:val="7"/>
        </w:numPr>
        <w:spacing w:after="0"/>
        <w:contextualSpacing w:val="0"/>
      </w:pPr>
      <w:r w:rsidRPr="00C853C3">
        <w:t>Based on dispersed DER ICA</w:t>
      </w:r>
    </w:p>
    <w:p w14:paraId="4F19010B" w14:textId="77777777" w:rsidR="00AC48BA" w:rsidRPr="00C853C3" w:rsidRDefault="00AC48BA" w:rsidP="005D3F6F">
      <w:pPr>
        <w:spacing w:after="0"/>
      </w:pPr>
    </w:p>
    <w:p w14:paraId="72A3649C" w14:textId="2C393FA0" w:rsidR="0084747E" w:rsidRPr="00C853C3" w:rsidRDefault="00AC48BA" w:rsidP="005D3F6F">
      <w:pPr>
        <w:spacing w:after="0"/>
      </w:pPr>
      <w:r w:rsidRPr="00C853C3">
        <w:t>At the Aug</w:t>
      </w:r>
      <w:r w:rsidR="00D72BFC">
        <w:t>ust</w:t>
      </w:r>
      <w:r w:rsidRPr="00C853C3">
        <w:t xml:space="preserve"> 15, 2017 WG meeting, the IOUs presented slides related to </w:t>
      </w:r>
      <w:r w:rsidR="003D5342">
        <w:t xml:space="preserve">Scenario </w:t>
      </w:r>
      <w:r w:rsidRPr="00C853C3">
        <w:t xml:space="preserve">3 above that focused on how forecasted DER should be incorporated.  Three alternatives were presented.  </w:t>
      </w:r>
      <w:r w:rsidR="0084747E" w:rsidRPr="00C853C3">
        <w:t>The first approach would take the expected growth and embed within the load allocation methods to distribute into the model. The dispersion would assume the same dispersion of load on the circuit.  While not as sophisticated, this approach seems reasonable to perform in the short term while more complex approaches are being explored.</w:t>
      </w:r>
    </w:p>
    <w:p w14:paraId="225F5F88" w14:textId="77777777" w:rsidR="002759EA" w:rsidRPr="00C853C3" w:rsidRDefault="002759EA" w:rsidP="005D3F6F">
      <w:pPr>
        <w:spacing w:after="0"/>
      </w:pPr>
    </w:p>
    <w:p w14:paraId="25FB1D6D" w14:textId="7F91256D" w:rsidR="00550202" w:rsidRPr="00C853C3" w:rsidRDefault="00203B3B" w:rsidP="00550202">
      <w:pPr>
        <w:spacing w:after="0"/>
      </w:pPr>
      <w:r w:rsidRPr="00C853C3">
        <w:t xml:space="preserve">The second approach would not change the input to the model to reflect the DER growth, but </w:t>
      </w:r>
      <w:r w:rsidR="00D72BFC">
        <w:t xml:space="preserve">would </w:t>
      </w:r>
      <w:r w:rsidRPr="00C853C3">
        <w:t>compare the DER growth to the calculated ICA.  For instance</w:t>
      </w:r>
      <w:r w:rsidR="00FA6AF0" w:rsidRPr="00C853C3">
        <w:t>, if ICA is calculated to be 1MW and D</w:t>
      </w:r>
      <w:r w:rsidR="001E2E58">
        <w:t>G</w:t>
      </w:r>
      <w:r w:rsidR="00FA6AF0" w:rsidRPr="00C853C3">
        <w:t xml:space="preserve"> growth is 1.5MW</w:t>
      </w:r>
      <w:r w:rsidR="00D72BFC">
        <w:t>,</w:t>
      </w:r>
      <w:r w:rsidR="00FA6AF0" w:rsidRPr="00C853C3">
        <w:t xml:space="preserve"> </w:t>
      </w:r>
      <w:r w:rsidR="00987741" w:rsidRPr="00C853C3">
        <w:t>th</w:t>
      </w:r>
      <w:r w:rsidR="00987741">
        <w:t>e</w:t>
      </w:r>
      <w:r w:rsidR="00987741" w:rsidRPr="00C853C3">
        <w:t xml:space="preserve">n </w:t>
      </w:r>
      <w:r w:rsidR="00FA6AF0" w:rsidRPr="00C853C3">
        <w:t>there would be a 0.5MW deficiency to be addressed. As mentioned earlier, it could be deceptive when performin</w:t>
      </w:r>
      <w:r w:rsidR="006E71FC">
        <w:t>g this if comparing</w:t>
      </w:r>
      <w:r w:rsidR="00FA6AF0" w:rsidRPr="00C853C3">
        <w:t xml:space="preserve"> growth to single DER ICA. This is why there are two options under approach 2. The first would calculate based on single DER ICA</w:t>
      </w:r>
      <w:r w:rsidR="00D72BFC">
        <w:t>,</w:t>
      </w:r>
      <w:r w:rsidR="00FA6AF0" w:rsidRPr="00C853C3">
        <w:t xml:space="preserve"> and the second would calculate based on dispersed DER ICA. Ideally</w:t>
      </w:r>
      <w:r w:rsidR="00D72BFC">
        <w:t>,</w:t>
      </w:r>
      <w:r w:rsidR="00FA6AF0" w:rsidRPr="00C853C3">
        <w:t xml:space="preserve"> the tools would need to properly consider dispersed DER in the analysis, but this is not fully supported yet in the tools.</w:t>
      </w:r>
      <w:r w:rsidR="00CD5620" w:rsidRPr="00C853C3">
        <w:t xml:space="preserve"> The other challenge to the post analysis approach is how to determine which forecasts to embed in the future time horizon and which to analyze post analysis.</w:t>
      </w:r>
    </w:p>
    <w:p w14:paraId="009B82AD" w14:textId="77777777" w:rsidR="002759EA" w:rsidRPr="00C853C3" w:rsidRDefault="002759EA" w:rsidP="005D3F6F">
      <w:pPr>
        <w:spacing w:after="0"/>
      </w:pPr>
    </w:p>
    <w:p w14:paraId="097CCB0F" w14:textId="7F124700" w:rsidR="002E0908" w:rsidRPr="00C853C3" w:rsidRDefault="00FA6AF0" w:rsidP="005D3F6F">
      <w:pPr>
        <w:spacing w:after="0"/>
      </w:pPr>
      <w:r w:rsidRPr="00C853C3">
        <w:t xml:space="preserve">The </w:t>
      </w:r>
      <w:r w:rsidR="00AC48BA" w:rsidRPr="00C853C3">
        <w:t xml:space="preserve">ICA WG </w:t>
      </w:r>
      <w:r w:rsidR="00CD5620" w:rsidRPr="00C853C3">
        <w:t>will explore the different options and evaluate which one will be the best to implement moving forward.</w:t>
      </w:r>
    </w:p>
    <w:p w14:paraId="46ED811D" w14:textId="77777777" w:rsidR="002D4B0C" w:rsidRPr="00C853C3" w:rsidRDefault="002D4B0C" w:rsidP="005D3F6F">
      <w:pPr>
        <w:spacing w:after="0"/>
      </w:pPr>
    </w:p>
    <w:p w14:paraId="43C07A4B" w14:textId="472F41C2" w:rsidR="00854491" w:rsidRPr="00C853C3" w:rsidRDefault="00854491" w:rsidP="00461327">
      <w:pPr>
        <w:spacing w:after="0"/>
        <w:rPr>
          <w:b/>
        </w:rPr>
      </w:pPr>
      <w:r w:rsidRPr="00C853C3">
        <w:rPr>
          <w:b/>
        </w:rPr>
        <w:t>Scenario Analysis</w:t>
      </w:r>
    </w:p>
    <w:p w14:paraId="00C2AB38" w14:textId="6BDF91A1" w:rsidR="00854491" w:rsidRPr="00C853C3" w:rsidRDefault="00854491" w:rsidP="00461327">
      <w:pPr>
        <w:spacing w:after="0"/>
      </w:pPr>
      <w:r w:rsidRPr="00C853C3">
        <w:t xml:space="preserve">Statewide long term planning such as LTPP and IRP typically involves performing analysis under a number of scenarios, as low, medium, and high penetration of Energy Efficiency.  This allows decision makers to consider the impacts of uncertainty when determining policy.  Initial ICA WG discussions indicated that the ability to perform scenario analyses is an advantage of the streamlined ICA method compared to the iterative method.  The </w:t>
      </w:r>
      <w:r w:rsidR="0070138E">
        <w:t>WG</w:t>
      </w:r>
      <w:r w:rsidRPr="00C853C3">
        <w:t xml:space="preserve"> will investigate the types of scenarios planned for the IRP proceeding and also scenarios unique to ICA that should be performed for planning use cases, particularly</w:t>
      </w:r>
      <w:r w:rsidR="003D5342">
        <w:t xml:space="preserve"> Scenario</w:t>
      </w:r>
      <w:r w:rsidRPr="00C853C3">
        <w:t xml:space="preserve"> 6.</w:t>
      </w:r>
    </w:p>
    <w:p w14:paraId="14497B97" w14:textId="77777777" w:rsidR="00622DD9" w:rsidRPr="00C853C3" w:rsidRDefault="00622DD9" w:rsidP="00461327">
      <w:pPr>
        <w:spacing w:after="0"/>
      </w:pPr>
    </w:p>
    <w:p w14:paraId="7B6C11A5" w14:textId="77777777" w:rsidR="00483C4A" w:rsidRPr="00C853C3" w:rsidRDefault="00622DD9" w:rsidP="005D3F6F">
      <w:pPr>
        <w:spacing w:after="0"/>
      </w:pPr>
      <w:r w:rsidRPr="00C853C3">
        <w:t xml:space="preserve"> </w:t>
      </w:r>
    </w:p>
    <w:p w14:paraId="50BC8B7D" w14:textId="1085B44A" w:rsidR="00CD3E97" w:rsidRPr="00C853C3" w:rsidRDefault="00E7266E" w:rsidP="00E7266E">
      <w:pPr>
        <w:spacing w:before="240"/>
      </w:pPr>
      <w:r w:rsidRPr="00E7266E">
        <w:rPr>
          <w:spacing w:val="-2"/>
          <w:sz w:val="16"/>
        </w:rPr>
        <w:t>921945.1</w:t>
      </w:r>
      <w:r w:rsidR="00483C4A" w:rsidRPr="00C853C3">
        <w:t xml:space="preserve"> </w:t>
      </w:r>
    </w:p>
    <w:sectPr w:rsidR="00CD3E97" w:rsidRPr="00C853C3">
      <w:footerReference w:type="default" r:id="rId9"/>
      <w:pgSz w:w="12240" w:h="15840"/>
      <w:pgMar w:top="1440" w:right="1440" w:bottom="1440" w:left="1440" w:header="720" w:footer="720" w:gutter="0"/>
      <w:cols w:space="720"/>
      <w:docGrid w:linePitch="360"/>
    </w:sectPr>
  </w:body>
</w:document>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CF4A396"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EB23E8E" w14:textId="77777777" w:rsidR="00BE6B4F" w:rsidRDefault="00BE6B4F" w:rsidP="00AC0E30">
      <w:pPr>
        <w:spacing w:after="0" w:line="240" w:lineRule="auto"/>
      </w:pPr>
      <w:r>
        <w:separator/>
      </w:r>
    </w:p>
  </w:endnote>
  <w:endnote w:type="continuationSeparator" w:id="0">
    <w:p w14:paraId="79364862" w14:textId="77777777" w:rsidR="00BE6B4F" w:rsidRDefault="00BE6B4F" w:rsidP="00AC0E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2230607"/>
      <w:docPartObj>
        <w:docPartGallery w:val="Page Numbers (Bottom of Page)"/>
        <w:docPartUnique/>
      </w:docPartObj>
    </w:sdtPr>
    <w:sdtEndPr>
      <w:rPr>
        <w:noProof/>
      </w:rPr>
    </w:sdtEndPr>
    <w:sdtContent>
      <w:p w14:paraId="5CBA31A1" w14:textId="4B770B5B" w:rsidR="00E7266E" w:rsidRDefault="00E7266E">
        <w:pPr>
          <w:pStyle w:val="Footer"/>
          <w:jc w:val="right"/>
        </w:pPr>
        <w:r>
          <w:fldChar w:fldCharType="begin"/>
        </w:r>
        <w:r>
          <w:instrText xml:space="preserve"> PAGE   \* MERGEFORMAT </w:instrText>
        </w:r>
        <w:r>
          <w:fldChar w:fldCharType="separate"/>
        </w:r>
        <w:r w:rsidR="00DD5BEC">
          <w:rPr>
            <w:noProof/>
          </w:rPr>
          <w:t>2</w:t>
        </w:r>
        <w:r>
          <w:rPr>
            <w:noProof/>
          </w:rPr>
          <w:fldChar w:fldCharType="end"/>
        </w:r>
      </w:p>
    </w:sdtContent>
  </w:sdt>
  <w:p w14:paraId="006C36D6" w14:textId="77777777" w:rsidR="00E7266E" w:rsidRDefault="00E7266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892A42" w14:textId="77777777" w:rsidR="00BE6B4F" w:rsidRDefault="00BE6B4F" w:rsidP="00AC0E30">
      <w:pPr>
        <w:spacing w:after="0" w:line="240" w:lineRule="auto"/>
      </w:pPr>
      <w:r>
        <w:separator/>
      </w:r>
    </w:p>
  </w:footnote>
  <w:footnote w:type="continuationSeparator" w:id="0">
    <w:p w14:paraId="74DE9AEA" w14:textId="77777777" w:rsidR="00BE6B4F" w:rsidRDefault="00BE6B4F" w:rsidP="00AC0E30">
      <w:pPr>
        <w:spacing w:after="0" w:line="240" w:lineRule="auto"/>
      </w:pPr>
      <w:r>
        <w:continuationSeparator/>
      </w:r>
    </w:p>
  </w:footnote>
  <w:footnote w:id="1">
    <w:p w14:paraId="42857185" w14:textId="410BF8C5" w:rsidR="00AC0E30" w:rsidRDefault="00AC0E30">
      <w:pPr>
        <w:pStyle w:val="FootnoteText"/>
      </w:pPr>
      <w:r>
        <w:rPr>
          <w:rStyle w:val="FootnoteReference"/>
        </w:rPr>
        <w:footnoteRef/>
      </w:r>
      <w:r>
        <w:t xml:space="preserve"> Mitigation is typically determined following IOU “needs” assessments, and can include operational changes, capital investment in “traditional” upgrades to identified circuits and substations, and identification of DER portfolios to meet the identified need.</w:t>
      </w:r>
      <w:r w:rsidR="00B25C6D">
        <w:t xml:space="preserve">  Due to the uncertainties of circuit level DER and load forecasts, there will likely be situations where mitigations are required outside of the annual distribution planning process.</w:t>
      </w:r>
    </w:p>
  </w:footnote>
  <w:footnote w:id="2">
    <w:p w14:paraId="3A1A3789" w14:textId="415EB3B6" w:rsidR="00D247EA" w:rsidRDefault="00D247EA">
      <w:pPr>
        <w:pStyle w:val="FootnoteText"/>
      </w:pPr>
      <w:r>
        <w:rPr>
          <w:rStyle w:val="FootnoteReference"/>
        </w:rPr>
        <w:footnoteRef/>
      </w:r>
      <w:r>
        <w:t xml:space="preserve"> This definition was provided in an IOU proposal following the August 15, 2017 WG meeting.</w:t>
      </w:r>
    </w:p>
  </w:footnote>
  <w:footnote w:id="3">
    <w:p w14:paraId="6195F0F8" w14:textId="2E8DD4FC" w:rsidR="007C3ABF" w:rsidRDefault="007C3ABF">
      <w:pPr>
        <w:pStyle w:val="FootnoteText"/>
      </w:pPr>
      <w:r>
        <w:rPr>
          <w:rStyle w:val="FootnoteReference"/>
        </w:rPr>
        <w:footnoteRef/>
      </w:r>
      <w:r>
        <w:t xml:space="preserve"> See ORA’s Grid Modernization comments dated June 19, 2017, pp. 19-2</w:t>
      </w:r>
      <w:r w:rsidR="00553FA1">
        <w:t>1.</w:t>
      </w:r>
    </w:p>
  </w:footnote>
  <w:footnote w:id="4">
    <w:p w14:paraId="1646E40A" w14:textId="66A2E802" w:rsidR="00B63A63" w:rsidRDefault="00B63A63" w:rsidP="00B63A63">
      <w:pPr>
        <w:pStyle w:val="FootnoteText"/>
      </w:pPr>
      <w:r>
        <w:rPr>
          <w:rStyle w:val="FootnoteReference"/>
        </w:rPr>
        <w:footnoteRef/>
      </w:r>
      <w:r>
        <w:t>ORA’s Grid Modernization comments dated June 19, 2017, p. 20: “For system-wide GM investments that enable DER benefits, forecasting uncertainty has minimal impact since the tools and technology will ultimately be deployed on most, if not all, distribution assets. The only impact of an erroneous forecast is that one location would be enabled before another.”</w:t>
      </w:r>
    </w:p>
  </w:footnote>
  <w:footnote w:id="5">
    <w:p w14:paraId="63964BF2" w14:textId="56DD6382" w:rsidR="002D4B0C" w:rsidRDefault="002D4B0C">
      <w:pPr>
        <w:pStyle w:val="FootnoteText"/>
      </w:pPr>
      <w:r>
        <w:rPr>
          <w:rStyle w:val="FootnoteReference"/>
        </w:rPr>
        <w:footnoteRef/>
      </w:r>
      <w:r>
        <w:t xml:space="preserve"> As stated above, the ICA regularly performed to support the interconnection use case </w:t>
      </w:r>
      <w:r w:rsidR="00FD5745">
        <w:t xml:space="preserve">may </w:t>
      </w:r>
      <w:r>
        <w:t>be sufficient to support Cases 1 and 2 above.  Case 4 will be addressed consistent with Case 3.</w:t>
      </w:r>
    </w:p>
  </w:footnote>
  <w:footnote w:id="6">
    <w:p w14:paraId="3F451F03" w14:textId="67C676D0" w:rsidR="00E56585" w:rsidRDefault="00E56585">
      <w:pPr>
        <w:pStyle w:val="FootnoteText"/>
      </w:pPr>
      <w:r>
        <w:rPr>
          <w:rStyle w:val="FootnoteReference"/>
        </w:rPr>
        <w:footnoteRef/>
      </w:r>
      <w:r>
        <w:t xml:space="preserve"> See previous footnote regarding Cases 1 and 2.</w:t>
      </w:r>
    </w:p>
  </w:footnote>
  <w:footnote w:id="7">
    <w:p w14:paraId="75E235C4" w14:textId="45FA00B6" w:rsidR="009B5DC3" w:rsidRDefault="009B5DC3">
      <w:pPr>
        <w:pStyle w:val="FootnoteText"/>
      </w:pPr>
      <w:r>
        <w:rPr>
          <w:rStyle w:val="FootnoteReference"/>
        </w:rPr>
        <w:footnoteRef/>
      </w:r>
      <w:r>
        <w:t xml:space="preserve"> March ICA WG report, p.9.</w:t>
      </w:r>
    </w:p>
  </w:footnote>
  <w:footnote w:id="8">
    <w:p w14:paraId="2EDEE7BD" w14:textId="39A3BA60" w:rsidR="0024636C" w:rsidRDefault="0024636C">
      <w:pPr>
        <w:pStyle w:val="FootnoteText"/>
      </w:pPr>
      <w:r>
        <w:rPr>
          <w:rStyle w:val="FootnoteReference"/>
        </w:rPr>
        <w:footnoteRef/>
      </w:r>
      <w:r>
        <w:t xml:space="preserve"> March ICA WG report, p.33.</w:t>
      </w:r>
    </w:p>
  </w:footnote>
  <w:footnote w:id="9">
    <w:p w14:paraId="299867B1" w14:textId="472D64A3" w:rsidR="00C50AEE" w:rsidRDefault="00C50AEE">
      <w:pPr>
        <w:pStyle w:val="FootnoteText"/>
      </w:pPr>
      <w:r>
        <w:rPr>
          <w:rStyle w:val="FootnoteReference"/>
        </w:rPr>
        <w:footnoteRef/>
      </w:r>
      <w:r>
        <w:t xml:space="preserve"> </w:t>
      </w:r>
      <w:r w:rsidR="009D6A3A" w:rsidRPr="009D6A3A">
        <w:t>IOU input required here</w:t>
      </w:r>
      <w:r w:rsidRPr="009D6A3A">
        <w:t>.  Isn’t it possible that the iterative method could be modified to provide distributed DER on each circuit, for example various levels of uniform distribution, and or distributions that are skewed towards the beginning of end of each circuit?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C00F3"/>
    <w:multiLevelType w:val="hybridMultilevel"/>
    <w:tmpl w:val="17AC920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BE59FA"/>
    <w:multiLevelType w:val="hybridMultilevel"/>
    <w:tmpl w:val="3AB21A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AB5B00"/>
    <w:multiLevelType w:val="hybridMultilevel"/>
    <w:tmpl w:val="CE80B7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C12529"/>
    <w:multiLevelType w:val="hybridMultilevel"/>
    <w:tmpl w:val="9C5A92C8"/>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nsid w:val="20906563"/>
    <w:multiLevelType w:val="multilevel"/>
    <w:tmpl w:val="CA1075A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67D52F0"/>
    <w:multiLevelType w:val="hybridMultilevel"/>
    <w:tmpl w:val="02D87894"/>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6">
    <w:nsid w:val="36FD5253"/>
    <w:multiLevelType w:val="hybridMultilevel"/>
    <w:tmpl w:val="DD00F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5912ECD"/>
    <w:multiLevelType w:val="hybridMultilevel"/>
    <w:tmpl w:val="53765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8192634"/>
    <w:multiLevelType w:val="hybridMultilevel"/>
    <w:tmpl w:val="A07897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6"/>
  </w:num>
  <w:num w:numId="4">
    <w:abstractNumId w:val="4"/>
  </w:num>
  <w:num w:numId="5">
    <w:abstractNumId w:val="2"/>
  </w:num>
  <w:num w:numId="6">
    <w:abstractNumId w:val="8"/>
  </w:num>
  <w:num w:numId="7">
    <w:abstractNumId w:val="0"/>
  </w:num>
  <w:num w:numId="8">
    <w:abstractNumId w:val="7"/>
  </w:num>
  <w:num w:numId="9">
    <w:abstractNumId w:val="3"/>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Brandon Smithwood">
    <w15:presenceInfo w15:providerId="AD" w15:userId="S-1-5-21-2809066765-904361570-2238891965-3307"/>
  </w15:person>
  <w15:person w15:author="Jim Baak">
    <w15:presenceInfo w15:providerId="None" w15:userId="Jim Baak"/>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MSVersion" w:val="1"/>
  </w:docVars>
  <w:rsids>
    <w:rsidRoot w:val="00C4565E"/>
    <w:rsid w:val="000021E1"/>
    <w:rsid w:val="00036DD6"/>
    <w:rsid w:val="00041025"/>
    <w:rsid w:val="00041AF0"/>
    <w:rsid w:val="000430B0"/>
    <w:rsid w:val="000573E1"/>
    <w:rsid w:val="00060F87"/>
    <w:rsid w:val="00063BE7"/>
    <w:rsid w:val="00067038"/>
    <w:rsid w:val="00080256"/>
    <w:rsid w:val="000B0997"/>
    <w:rsid w:val="000B18E0"/>
    <w:rsid w:val="000C1B1B"/>
    <w:rsid w:val="0011750E"/>
    <w:rsid w:val="001261C4"/>
    <w:rsid w:val="00144C4C"/>
    <w:rsid w:val="001521F9"/>
    <w:rsid w:val="001630D9"/>
    <w:rsid w:val="00186AC6"/>
    <w:rsid w:val="001B7DF0"/>
    <w:rsid w:val="001C47F4"/>
    <w:rsid w:val="001E2E58"/>
    <w:rsid w:val="00203B3B"/>
    <w:rsid w:val="0022237C"/>
    <w:rsid w:val="00223364"/>
    <w:rsid w:val="0024636C"/>
    <w:rsid w:val="00262399"/>
    <w:rsid w:val="002759EA"/>
    <w:rsid w:val="002803ED"/>
    <w:rsid w:val="00295718"/>
    <w:rsid w:val="002A18A2"/>
    <w:rsid w:val="002C090B"/>
    <w:rsid w:val="002C5C52"/>
    <w:rsid w:val="002D4B0C"/>
    <w:rsid w:val="002E0908"/>
    <w:rsid w:val="002E1F76"/>
    <w:rsid w:val="002F7A19"/>
    <w:rsid w:val="00300CE6"/>
    <w:rsid w:val="003249FA"/>
    <w:rsid w:val="00340188"/>
    <w:rsid w:val="00352005"/>
    <w:rsid w:val="00354DB2"/>
    <w:rsid w:val="00386385"/>
    <w:rsid w:val="0039270A"/>
    <w:rsid w:val="003D5342"/>
    <w:rsid w:val="00443FFD"/>
    <w:rsid w:val="00461327"/>
    <w:rsid w:val="00473FAD"/>
    <w:rsid w:val="00483C4A"/>
    <w:rsid w:val="0049448A"/>
    <w:rsid w:val="004A0A3E"/>
    <w:rsid w:val="004A257F"/>
    <w:rsid w:val="004B1355"/>
    <w:rsid w:val="004B3A50"/>
    <w:rsid w:val="004D0903"/>
    <w:rsid w:val="004D252B"/>
    <w:rsid w:val="004F7D4D"/>
    <w:rsid w:val="0051754A"/>
    <w:rsid w:val="00523EB9"/>
    <w:rsid w:val="00550202"/>
    <w:rsid w:val="00553FA1"/>
    <w:rsid w:val="00567EB4"/>
    <w:rsid w:val="00580C2A"/>
    <w:rsid w:val="005909B6"/>
    <w:rsid w:val="00592A4B"/>
    <w:rsid w:val="005B5D1B"/>
    <w:rsid w:val="005C00FA"/>
    <w:rsid w:val="005D02F4"/>
    <w:rsid w:val="005D3F6F"/>
    <w:rsid w:val="005E0904"/>
    <w:rsid w:val="005E3DED"/>
    <w:rsid w:val="005F5C1C"/>
    <w:rsid w:val="0060192D"/>
    <w:rsid w:val="00622DD9"/>
    <w:rsid w:val="00636A6C"/>
    <w:rsid w:val="00637DAA"/>
    <w:rsid w:val="00640E48"/>
    <w:rsid w:val="00650E6C"/>
    <w:rsid w:val="00656FD0"/>
    <w:rsid w:val="006A4EF6"/>
    <w:rsid w:val="006C3F36"/>
    <w:rsid w:val="006D2107"/>
    <w:rsid w:val="006E71FC"/>
    <w:rsid w:val="0070138E"/>
    <w:rsid w:val="00721FF6"/>
    <w:rsid w:val="0074447C"/>
    <w:rsid w:val="0075373B"/>
    <w:rsid w:val="00764135"/>
    <w:rsid w:val="007A6DF3"/>
    <w:rsid w:val="007B5461"/>
    <w:rsid w:val="007C3ABF"/>
    <w:rsid w:val="007E326F"/>
    <w:rsid w:val="007E534D"/>
    <w:rsid w:val="008444D3"/>
    <w:rsid w:val="0084747E"/>
    <w:rsid w:val="00854491"/>
    <w:rsid w:val="0085645D"/>
    <w:rsid w:val="0088256C"/>
    <w:rsid w:val="0088295A"/>
    <w:rsid w:val="008C12AE"/>
    <w:rsid w:val="008D107C"/>
    <w:rsid w:val="008E475B"/>
    <w:rsid w:val="008E7EC9"/>
    <w:rsid w:val="008F1A4A"/>
    <w:rsid w:val="008F242F"/>
    <w:rsid w:val="00900C8A"/>
    <w:rsid w:val="00920BDE"/>
    <w:rsid w:val="00925F23"/>
    <w:rsid w:val="00944599"/>
    <w:rsid w:val="00951504"/>
    <w:rsid w:val="00961B33"/>
    <w:rsid w:val="00963FCC"/>
    <w:rsid w:val="00987741"/>
    <w:rsid w:val="009B59A2"/>
    <w:rsid w:val="009B5DC3"/>
    <w:rsid w:val="009D6A3A"/>
    <w:rsid w:val="00A018BA"/>
    <w:rsid w:val="00A23DA2"/>
    <w:rsid w:val="00A87AE1"/>
    <w:rsid w:val="00A92E5F"/>
    <w:rsid w:val="00AA1496"/>
    <w:rsid w:val="00AA7F82"/>
    <w:rsid w:val="00AC0E30"/>
    <w:rsid w:val="00AC48BA"/>
    <w:rsid w:val="00AC7898"/>
    <w:rsid w:val="00B04311"/>
    <w:rsid w:val="00B2117A"/>
    <w:rsid w:val="00B25C6D"/>
    <w:rsid w:val="00B63A63"/>
    <w:rsid w:val="00B64DBF"/>
    <w:rsid w:val="00B91426"/>
    <w:rsid w:val="00BA3D3E"/>
    <w:rsid w:val="00BA51E8"/>
    <w:rsid w:val="00BC585A"/>
    <w:rsid w:val="00BD5843"/>
    <w:rsid w:val="00BE6B4F"/>
    <w:rsid w:val="00BE78E1"/>
    <w:rsid w:val="00BF5C07"/>
    <w:rsid w:val="00C43C2A"/>
    <w:rsid w:val="00C4565E"/>
    <w:rsid w:val="00C50AEE"/>
    <w:rsid w:val="00C65BBE"/>
    <w:rsid w:val="00C72DC2"/>
    <w:rsid w:val="00C853C3"/>
    <w:rsid w:val="00C9142A"/>
    <w:rsid w:val="00CA2BE7"/>
    <w:rsid w:val="00CD3E97"/>
    <w:rsid w:val="00CD3F1D"/>
    <w:rsid w:val="00CD5620"/>
    <w:rsid w:val="00D15223"/>
    <w:rsid w:val="00D247EA"/>
    <w:rsid w:val="00D65197"/>
    <w:rsid w:val="00D72BFC"/>
    <w:rsid w:val="00D90313"/>
    <w:rsid w:val="00D970F1"/>
    <w:rsid w:val="00DA10CC"/>
    <w:rsid w:val="00DB3CE8"/>
    <w:rsid w:val="00DD5BEC"/>
    <w:rsid w:val="00DE06AE"/>
    <w:rsid w:val="00E260C2"/>
    <w:rsid w:val="00E400D8"/>
    <w:rsid w:val="00E56585"/>
    <w:rsid w:val="00E7266E"/>
    <w:rsid w:val="00EF304B"/>
    <w:rsid w:val="00F25BEF"/>
    <w:rsid w:val="00F31EFA"/>
    <w:rsid w:val="00F33382"/>
    <w:rsid w:val="00F37ADC"/>
    <w:rsid w:val="00F41B21"/>
    <w:rsid w:val="00F52885"/>
    <w:rsid w:val="00F6489B"/>
    <w:rsid w:val="00F823E5"/>
    <w:rsid w:val="00F93B08"/>
    <w:rsid w:val="00FA4D96"/>
    <w:rsid w:val="00FA6AF0"/>
    <w:rsid w:val="00FD3E1D"/>
    <w:rsid w:val="00FD5745"/>
    <w:rsid w:val="00FE6883"/>
    <w:rsid w:val="00FF6A6B"/>
    <w:rsid w:val="2D926EEB"/>
    <w:rsid w:val="383471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7910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4102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1025"/>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041025"/>
    <w:pPr>
      <w:ind w:left="720"/>
      <w:contextualSpacing/>
    </w:pPr>
  </w:style>
  <w:style w:type="paragraph" w:styleId="Title">
    <w:name w:val="Title"/>
    <w:basedOn w:val="Normal"/>
    <w:next w:val="Normal"/>
    <w:link w:val="TitleChar"/>
    <w:uiPriority w:val="10"/>
    <w:qFormat/>
    <w:rsid w:val="0004102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10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102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41025"/>
    <w:rPr>
      <w:rFonts w:eastAsiaTheme="minorEastAsia"/>
      <w:color w:val="5A5A5A" w:themeColor="text1" w:themeTint="A5"/>
      <w:spacing w:val="15"/>
    </w:rPr>
  </w:style>
  <w:style w:type="paragraph" w:styleId="BalloonText">
    <w:name w:val="Balloon Text"/>
    <w:basedOn w:val="Normal"/>
    <w:link w:val="BalloonTextChar"/>
    <w:uiPriority w:val="99"/>
    <w:semiHidden/>
    <w:unhideWhenUsed/>
    <w:rsid w:val="000410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1025"/>
    <w:rPr>
      <w:rFonts w:ascii="Tahoma" w:hAnsi="Tahoma" w:cs="Tahoma"/>
      <w:sz w:val="16"/>
      <w:szCs w:val="16"/>
    </w:rPr>
  </w:style>
  <w:style w:type="character" w:styleId="CommentReference">
    <w:name w:val="annotation reference"/>
    <w:basedOn w:val="DefaultParagraphFont"/>
    <w:uiPriority w:val="99"/>
    <w:semiHidden/>
    <w:unhideWhenUsed/>
    <w:rsid w:val="00BC585A"/>
    <w:rPr>
      <w:sz w:val="16"/>
      <w:szCs w:val="16"/>
    </w:rPr>
  </w:style>
  <w:style w:type="paragraph" w:styleId="CommentText">
    <w:name w:val="annotation text"/>
    <w:basedOn w:val="Normal"/>
    <w:link w:val="CommentTextChar"/>
    <w:uiPriority w:val="99"/>
    <w:semiHidden/>
    <w:unhideWhenUsed/>
    <w:rsid w:val="00BC585A"/>
    <w:pPr>
      <w:spacing w:line="240" w:lineRule="auto"/>
    </w:pPr>
    <w:rPr>
      <w:sz w:val="20"/>
      <w:szCs w:val="20"/>
    </w:rPr>
  </w:style>
  <w:style w:type="character" w:customStyle="1" w:styleId="CommentTextChar">
    <w:name w:val="Comment Text Char"/>
    <w:basedOn w:val="DefaultParagraphFont"/>
    <w:link w:val="CommentText"/>
    <w:uiPriority w:val="99"/>
    <w:semiHidden/>
    <w:rsid w:val="00BC585A"/>
    <w:rPr>
      <w:sz w:val="20"/>
      <w:szCs w:val="20"/>
    </w:rPr>
  </w:style>
  <w:style w:type="paragraph" w:styleId="CommentSubject">
    <w:name w:val="annotation subject"/>
    <w:basedOn w:val="CommentText"/>
    <w:next w:val="CommentText"/>
    <w:link w:val="CommentSubjectChar"/>
    <w:uiPriority w:val="99"/>
    <w:semiHidden/>
    <w:unhideWhenUsed/>
    <w:rsid w:val="00BC585A"/>
    <w:rPr>
      <w:b/>
      <w:bCs/>
    </w:rPr>
  </w:style>
  <w:style w:type="character" w:customStyle="1" w:styleId="CommentSubjectChar">
    <w:name w:val="Comment Subject Char"/>
    <w:basedOn w:val="CommentTextChar"/>
    <w:link w:val="CommentSubject"/>
    <w:uiPriority w:val="99"/>
    <w:semiHidden/>
    <w:rsid w:val="00BC585A"/>
    <w:rPr>
      <w:b/>
      <w:bCs/>
      <w:sz w:val="20"/>
      <w:szCs w:val="20"/>
    </w:rPr>
  </w:style>
  <w:style w:type="paragraph" w:styleId="Revision">
    <w:name w:val="Revision"/>
    <w:hidden/>
    <w:uiPriority w:val="99"/>
    <w:semiHidden/>
    <w:rsid w:val="00DB3CE8"/>
    <w:pPr>
      <w:spacing w:after="0" w:line="240" w:lineRule="auto"/>
    </w:pPr>
  </w:style>
  <w:style w:type="paragraph" w:styleId="FootnoteText">
    <w:name w:val="footnote text"/>
    <w:basedOn w:val="Normal"/>
    <w:link w:val="FootnoteTextChar"/>
    <w:uiPriority w:val="99"/>
    <w:semiHidden/>
    <w:unhideWhenUsed/>
    <w:rsid w:val="00AC0E3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C0E30"/>
    <w:rPr>
      <w:sz w:val="20"/>
      <w:szCs w:val="20"/>
    </w:rPr>
  </w:style>
  <w:style w:type="character" w:styleId="FootnoteReference">
    <w:name w:val="footnote reference"/>
    <w:basedOn w:val="DefaultParagraphFont"/>
    <w:uiPriority w:val="99"/>
    <w:semiHidden/>
    <w:unhideWhenUsed/>
    <w:rsid w:val="00AC0E30"/>
    <w:rPr>
      <w:vertAlign w:val="superscript"/>
    </w:rPr>
  </w:style>
  <w:style w:type="paragraph" w:styleId="Header">
    <w:name w:val="header"/>
    <w:basedOn w:val="Normal"/>
    <w:link w:val="HeaderChar"/>
    <w:uiPriority w:val="99"/>
    <w:unhideWhenUsed/>
    <w:rsid w:val="00483C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3C4A"/>
  </w:style>
  <w:style w:type="paragraph" w:styleId="Footer">
    <w:name w:val="footer"/>
    <w:basedOn w:val="Normal"/>
    <w:link w:val="FooterChar"/>
    <w:uiPriority w:val="99"/>
    <w:unhideWhenUsed/>
    <w:rsid w:val="00483C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3C4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04102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1025"/>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041025"/>
    <w:pPr>
      <w:ind w:left="720"/>
      <w:contextualSpacing/>
    </w:pPr>
  </w:style>
  <w:style w:type="paragraph" w:styleId="Title">
    <w:name w:val="Title"/>
    <w:basedOn w:val="Normal"/>
    <w:next w:val="Normal"/>
    <w:link w:val="TitleChar"/>
    <w:uiPriority w:val="10"/>
    <w:qFormat/>
    <w:rsid w:val="0004102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102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102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41025"/>
    <w:rPr>
      <w:rFonts w:eastAsiaTheme="minorEastAsia"/>
      <w:color w:val="5A5A5A" w:themeColor="text1" w:themeTint="A5"/>
      <w:spacing w:val="15"/>
    </w:rPr>
  </w:style>
  <w:style w:type="paragraph" w:styleId="BalloonText">
    <w:name w:val="Balloon Text"/>
    <w:basedOn w:val="Normal"/>
    <w:link w:val="BalloonTextChar"/>
    <w:uiPriority w:val="99"/>
    <w:semiHidden/>
    <w:unhideWhenUsed/>
    <w:rsid w:val="000410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1025"/>
    <w:rPr>
      <w:rFonts w:ascii="Tahoma" w:hAnsi="Tahoma" w:cs="Tahoma"/>
      <w:sz w:val="16"/>
      <w:szCs w:val="16"/>
    </w:rPr>
  </w:style>
  <w:style w:type="character" w:styleId="CommentReference">
    <w:name w:val="annotation reference"/>
    <w:basedOn w:val="DefaultParagraphFont"/>
    <w:uiPriority w:val="99"/>
    <w:semiHidden/>
    <w:unhideWhenUsed/>
    <w:rsid w:val="00BC585A"/>
    <w:rPr>
      <w:sz w:val="16"/>
      <w:szCs w:val="16"/>
    </w:rPr>
  </w:style>
  <w:style w:type="paragraph" w:styleId="CommentText">
    <w:name w:val="annotation text"/>
    <w:basedOn w:val="Normal"/>
    <w:link w:val="CommentTextChar"/>
    <w:uiPriority w:val="99"/>
    <w:semiHidden/>
    <w:unhideWhenUsed/>
    <w:rsid w:val="00BC585A"/>
    <w:pPr>
      <w:spacing w:line="240" w:lineRule="auto"/>
    </w:pPr>
    <w:rPr>
      <w:sz w:val="20"/>
      <w:szCs w:val="20"/>
    </w:rPr>
  </w:style>
  <w:style w:type="character" w:customStyle="1" w:styleId="CommentTextChar">
    <w:name w:val="Comment Text Char"/>
    <w:basedOn w:val="DefaultParagraphFont"/>
    <w:link w:val="CommentText"/>
    <w:uiPriority w:val="99"/>
    <w:semiHidden/>
    <w:rsid w:val="00BC585A"/>
    <w:rPr>
      <w:sz w:val="20"/>
      <w:szCs w:val="20"/>
    </w:rPr>
  </w:style>
  <w:style w:type="paragraph" w:styleId="CommentSubject">
    <w:name w:val="annotation subject"/>
    <w:basedOn w:val="CommentText"/>
    <w:next w:val="CommentText"/>
    <w:link w:val="CommentSubjectChar"/>
    <w:uiPriority w:val="99"/>
    <w:semiHidden/>
    <w:unhideWhenUsed/>
    <w:rsid w:val="00BC585A"/>
    <w:rPr>
      <w:b/>
      <w:bCs/>
    </w:rPr>
  </w:style>
  <w:style w:type="character" w:customStyle="1" w:styleId="CommentSubjectChar">
    <w:name w:val="Comment Subject Char"/>
    <w:basedOn w:val="CommentTextChar"/>
    <w:link w:val="CommentSubject"/>
    <w:uiPriority w:val="99"/>
    <w:semiHidden/>
    <w:rsid w:val="00BC585A"/>
    <w:rPr>
      <w:b/>
      <w:bCs/>
      <w:sz w:val="20"/>
      <w:szCs w:val="20"/>
    </w:rPr>
  </w:style>
  <w:style w:type="paragraph" w:styleId="Revision">
    <w:name w:val="Revision"/>
    <w:hidden/>
    <w:uiPriority w:val="99"/>
    <w:semiHidden/>
    <w:rsid w:val="00DB3CE8"/>
    <w:pPr>
      <w:spacing w:after="0" w:line="240" w:lineRule="auto"/>
    </w:pPr>
  </w:style>
  <w:style w:type="paragraph" w:styleId="FootnoteText">
    <w:name w:val="footnote text"/>
    <w:basedOn w:val="Normal"/>
    <w:link w:val="FootnoteTextChar"/>
    <w:uiPriority w:val="99"/>
    <w:semiHidden/>
    <w:unhideWhenUsed/>
    <w:rsid w:val="00AC0E3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C0E30"/>
    <w:rPr>
      <w:sz w:val="20"/>
      <w:szCs w:val="20"/>
    </w:rPr>
  </w:style>
  <w:style w:type="character" w:styleId="FootnoteReference">
    <w:name w:val="footnote reference"/>
    <w:basedOn w:val="DefaultParagraphFont"/>
    <w:uiPriority w:val="99"/>
    <w:semiHidden/>
    <w:unhideWhenUsed/>
    <w:rsid w:val="00AC0E30"/>
    <w:rPr>
      <w:vertAlign w:val="superscript"/>
    </w:rPr>
  </w:style>
  <w:style w:type="paragraph" w:styleId="Header">
    <w:name w:val="header"/>
    <w:basedOn w:val="Normal"/>
    <w:link w:val="HeaderChar"/>
    <w:uiPriority w:val="99"/>
    <w:unhideWhenUsed/>
    <w:rsid w:val="00483C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3C4A"/>
  </w:style>
  <w:style w:type="paragraph" w:styleId="Footer">
    <w:name w:val="footer"/>
    <w:basedOn w:val="Normal"/>
    <w:link w:val="FooterChar"/>
    <w:uiPriority w:val="99"/>
    <w:unhideWhenUsed/>
    <w:rsid w:val="00483C4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3C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2604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355D70-8F3E-4C04-9A90-75D42C1C4C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7</Pages>
  <Words>2893</Words>
  <Characters>15509</Characters>
  <Application>Microsoft Office Word</Application>
  <DocSecurity>0</DocSecurity>
  <Lines>250</Lines>
  <Paragraphs>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Thomas Russell</dc:creator>
  <cp:lastModifiedBy>Sky C. Stanfield</cp:lastModifiedBy>
  <cp:revision>6</cp:revision>
  <cp:lastPrinted>2017-08-24T19:16:00Z</cp:lastPrinted>
  <dcterms:created xsi:type="dcterms:W3CDTF">2017-08-29T19:08:00Z</dcterms:created>
  <dcterms:modified xsi:type="dcterms:W3CDTF">2017-08-30T00:53:00Z</dcterms:modified>
</cp:coreProperties>
</file>